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Onopgemaaktetabel1"/>
        <w:tblW w:w="15168" w:type="dxa"/>
        <w:tblInd w:w="-572" w:type="dxa"/>
        <w:tblLook w:val="04A0" w:firstRow="1" w:lastRow="0" w:firstColumn="1" w:lastColumn="0" w:noHBand="0" w:noVBand="1"/>
      </w:tblPr>
      <w:tblGrid>
        <w:gridCol w:w="2798"/>
        <w:gridCol w:w="2799"/>
        <w:gridCol w:w="3192"/>
        <w:gridCol w:w="2977"/>
        <w:gridCol w:w="3402"/>
      </w:tblGrid>
      <w:tr w:rsidR="0061587E" w:rsidRPr="00EB39FD" w14:paraId="62E3F317" w14:textId="77777777" w:rsidTr="007250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bottom w:val="single" w:sz="4" w:space="0" w:color="auto"/>
            </w:tcBorders>
          </w:tcPr>
          <w:p w14:paraId="2990F2BF" w14:textId="601B9132" w:rsidR="0061587E" w:rsidRPr="00EB39FD" w:rsidRDefault="0061587E" w:rsidP="00685EE0">
            <w:proofErr w:type="spellStart"/>
            <w:r w:rsidRPr="00EB39FD">
              <w:t>Wetgeving</w:t>
            </w:r>
            <w:proofErr w:type="spellEnd"/>
          </w:p>
        </w:tc>
        <w:tc>
          <w:tcPr>
            <w:tcW w:w="2799" w:type="dxa"/>
            <w:tcBorders>
              <w:bottom w:val="single" w:sz="4" w:space="0" w:color="auto"/>
            </w:tcBorders>
          </w:tcPr>
          <w:p w14:paraId="38BD4CE6" w14:textId="558D753E" w:rsidR="0061587E" w:rsidRPr="00EB39FD" w:rsidRDefault="0061587E" w:rsidP="00685EE0">
            <w:pPr>
              <w:cnfStyle w:val="100000000000" w:firstRow="1" w:lastRow="0" w:firstColumn="0" w:lastColumn="0" w:oddVBand="0" w:evenVBand="0" w:oddHBand="0" w:evenHBand="0" w:firstRowFirstColumn="0" w:firstRowLastColumn="0" w:lastRowFirstColumn="0" w:lastRowLastColumn="0"/>
            </w:pPr>
            <w:r w:rsidRPr="00EB39FD">
              <w:t>Status</w:t>
            </w:r>
          </w:p>
        </w:tc>
        <w:tc>
          <w:tcPr>
            <w:tcW w:w="3192" w:type="dxa"/>
            <w:tcBorders>
              <w:bottom w:val="single" w:sz="4" w:space="0" w:color="auto"/>
            </w:tcBorders>
          </w:tcPr>
          <w:p w14:paraId="513BE048" w14:textId="26867496" w:rsidR="0061587E" w:rsidRPr="00EB39FD"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EB39FD">
              <w:t>Inhoud</w:t>
            </w:r>
            <w:proofErr w:type="spellEnd"/>
          </w:p>
        </w:tc>
        <w:tc>
          <w:tcPr>
            <w:tcW w:w="2977" w:type="dxa"/>
            <w:tcBorders>
              <w:bottom w:val="single" w:sz="4" w:space="0" w:color="auto"/>
            </w:tcBorders>
          </w:tcPr>
          <w:p w14:paraId="01180400" w14:textId="403652CB" w:rsidR="0061587E" w:rsidRPr="00EB39FD"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EB39FD">
              <w:t>Verwachte</w:t>
            </w:r>
            <w:proofErr w:type="spellEnd"/>
            <w:r w:rsidRPr="00EB39FD">
              <w:t xml:space="preserve"> </w:t>
            </w:r>
            <w:proofErr w:type="spellStart"/>
            <w:r w:rsidRPr="00EB39FD">
              <w:t>inwerkingtreding</w:t>
            </w:r>
            <w:proofErr w:type="spellEnd"/>
          </w:p>
        </w:tc>
        <w:tc>
          <w:tcPr>
            <w:tcW w:w="3402" w:type="dxa"/>
            <w:tcBorders>
              <w:bottom w:val="single" w:sz="4" w:space="0" w:color="auto"/>
            </w:tcBorders>
          </w:tcPr>
          <w:p w14:paraId="115E1F50" w14:textId="42B445F4" w:rsidR="0061587E" w:rsidRPr="00EB39FD"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EB39FD">
              <w:t>Belang</w:t>
            </w:r>
            <w:proofErr w:type="spellEnd"/>
            <w:r w:rsidRPr="00EB39FD">
              <w:t xml:space="preserve"> </w:t>
            </w:r>
            <w:proofErr w:type="spellStart"/>
            <w:r w:rsidRPr="00EB39FD">
              <w:t>voor</w:t>
            </w:r>
            <w:proofErr w:type="spellEnd"/>
            <w:r w:rsidRPr="00EB39FD">
              <w:t xml:space="preserve"> de </w:t>
            </w:r>
            <w:proofErr w:type="spellStart"/>
            <w:r w:rsidRPr="00EB39FD">
              <w:t>praktijk</w:t>
            </w:r>
            <w:proofErr w:type="spellEnd"/>
          </w:p>
        </w:tc>
      </w:tr>
      <w:tr w:rsidR="0027588F" w:rsidRPr="00EB39FD" w14:paraId="41F83770"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top w:val="single" w:sz="4" w:space="0" w:color="auto"/>
            </w:tcBorders>
          </w:tcPr>
          <w:p w14:paraId="584FB872" w14:textId="2E2747F9" w:rsidR="0027588F" w:rsidRPr="00EB39FD" w:rsidRDefault="007A7BD2" w:rsidP="00685EE0">
            <w:pPr>
              <w:rPr>
                <w:lang w:val="nl-NL"/>
              </w:rPr>
            </w:pPr>
            <w:r w:rsidRPr="00EB39FD">
              <w:rPr>
                <w:lang w:val="nl-NL"/>
              </w:rPr>
              <w:t xml:space="preserve">EU-richtlijn </w:t>
            </w:r>
            <w:r w:rsidR="00AF77C4" w:rsidRPr="00EB39FD">
              <w:rPr>
                <w:lang w:val="nl-NL"/>
              </w:rPr>
              <w:t>betaaldiensten</w:t>
            </w:r>
            <w:r w:rsidRPr="00EB39FD">
              <w:rPr>
                <w:lang w:val="nl-NL"/>
              </w:rPr>
              <w:t xml:space="preserve"> III (PSD3) (</w:t>
            </w:r>
            <w:proofErr w:type="gramStart"/>
            <w:r w:rsidRPr="00EB39FD">
              <w:rPr>
                <w:lang w:val="nl-NL"/>
              </w:rPr>
              <w:t>COM(</w:t>
            </w:r>
            <w:proofErr w:type="gramEnd"/>
            <w:r w:rsidRPr="00EB39FD">
              <w:rPr>
                <w:lang w:val="nl-NL"/>
              </w:rPr>
              <w:t>2023) 366)</w:t>
            </w:r>
          </w:p>
        </w:tc>
        <w:tc>
          <w:tcPr>
            <w:tcW w:w="2799" w:type="dxa"/>
            <w:tcBorders>
              <w:top w:val="single" w:sz="4" w:space="0" w:color="auto"/>
            </w:tcBorders>
          </w:tcPr>
          <w:p w14:paraId="0563E12F" w14:textId="4D2DF8AF" w:rsidR="0027588F" w:rsidRPr="00EB39FD" w:rsidRDefault="007A7BD2"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Op 2</w:t>
            </w:r>
            <w:r w:rsidR="003F03F6" w:rsidRPr="00EB39FD">
              <w:rPr>
                <w:lang w:val="nl-NL"/>
              </w:rPr>
              <w:t>7</w:t>
            </w:r>
            <w:r w:rsidRPr="00EB39FD">
              <w:rPr>
                <w:lang w:val="nl-NL"/>
              </w:rPr>
              <w:t xml:space="preserve"> november 2025 hebben het Europees Parlement en de Raad een </w:t>
            </w:r>
            <w:r w:rsidR="003F03F6" w:rsidRPr="00EB39FD">
              <w:rPr>
                <w:lang w:val="nl-NL"/>
              </w:rPr>
              <w:t xml:space="preserve">voorlopig </w:t>
            </w:r>
            <w:r w:rsidRPr="00EB39FD">
              <w:rPr>
                <w:lang w:val="nl-NL"/>
              </w:rPr>
              <w:t xml:space="preserve">akkoord bereikt. </w:t>
            </w:r>
          </w:p>
        </w:tc>
        <w:tc>
          <w:tcPr>
            <w:tcW w:w="3192" w:type="dxa"/>
            <w:tcBorders>
              <w:top w:val="single" w:sz="4" w:space="0" w:color="auto"/>
            </w:tcBorders>
          </w:tcPr>
          <w:p w14:paraId="63C26D89" w14:textId="490F5172" w:rsidR="0027588F" w:rsidRPr="00EB39FD" w:rsidRDefault="007A7BD2"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PSD3 </w:t>
            </w:r>
            <w:r w:rsidR="00EA07DB" w:rsidRPr="00EB39FD">
              <w:rPr>
                <w:lang w:val="nl-NL"/>
              </w:rPr>
              <w:t xml:space="preserve">moderniseert </w:t>
            </w:r>
            <w:r w:rsidRPr="00EB39FD">
              <w:rPr>
                <w:lang w:val="nl-NL"/>
              </w:rPr>
              <w:t>PSD2</w:t>
            </w:r>
            <w:r w:rsidR="00EA07DB" w:rsidRPr="00EB39FD">
              <w:rPr>
                <w:lang w:val="nl-NL"/>
              </w:rPr>
              <w:t xml:space="preserve"> en integreert het </w:t>
            </w:r>
            <w:r w:rsidRPr="00EB39FD">
              <w:rPr>
                <w:lang w:val="nl-NL"/>
              </w:rPr>
              <w:t xml:space="preserve">e-geldregime (EMD2) in het betalingskader: het onderscheid tussen betalingsinstellingen en e-geldinstellingen verdwijnt. De </w:t>
            </w:r>
            <w:r w:rsidR="00EA07DB" w:rsidRPr="00EB39FD">
              <w:rPr>
                <w:lang w:val="nl-NL"/>
              </w:rPr>
              <w:t xml:space="preserve">richtlijn bevat </w:t>
            </w:r>
            <w:r w:rsidRPr="00EB39FD">
              <w:rPr>
                <w:lang w:val="nl-NL"/>
              </w:rPr>
              <w:t>aangescherpte fraudepreventie- en aansprakelijkheidsregels, verplichte IBAN-</w:t>
            </w:r>
            <w:proofErr w:type="spellStart"/>
            <w:r w:rsidRPr="00EB39FD">
              <w:rPr>
                <w:lang w:val="nl-NL"/>
              </w:rPr>
              <w:t>naamsverificatie</w:t>
            </w:r>
            <w:proofErr w:type="spellEnd"/>
            <w:r w:rsidRPr="00EB39FD">
              <w:rPr>
                <w:lang w:val="nl-NL"/>
              </w:rPr>
              <w:t xml:space="preserve">, kostentransparantie bij valutaomrekening en </w:t>
            </w:r>
            <w:r w:rsidR="00EA07DB" w:rsidRPr="00EB39FD">
              <w:rPr>
                <w:lang w:val="nl-NL"/>
              </w:rPr>
              <w:t>geharmoniseerde eisen voor</w:t>
            </w:r>
            <w:r w:rsidRPr="00EB39FD">
              <w:rPr>
                <w:lang w:val="nl-NL"/>
              </w:rPr>
              <w:t xml:space="preserve"> sterke klantauthenticatie. De uitsluitingen voor beperkte netwerken en handelsagenten worden nader gepreciseerd.</w:t>
            </w:r>
          </w:p>
        </w:tc>
        <w:tc>
          <w:tcPr>
            <w:tcW w:w="2977" w:type="dxa"/>
            <w:tcBorders>
              <w:top w:val="single" w:sz="4" w:space="0" w:color="auto"/>
            </w:tcBorders>
          </w:tcPr>
          <w:p w14:paraId="34F11A14" w14:textId="600780CC" w:rsidR="0027588F" w:rsidRPr="00EB39FD" w:rsidRDefault="007A7BD2"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Na formele </w:t>
            </w:r>
            <w:r w:rsidR="00592113" w:rsidRPr="00EB39FD">
              <w:rPr>
                <w:lang w:val="nl-NL"/>
              </w:rPr>
              <w:t>aanneming</w:t>
            </w:r>
            <w:r w:rsidRPr="00EB39FD">
              <w:rPr>
                <w:lang w:val="nl-NL"/>
              </w:rPr>
              <w:t xml:space="preserve"> en publicatie in het Publicatieblad van de EU (verwacht in de loop van 2026) hebben lidstaten 18 maanden de tijd voor omzetting. Inwerkingtreding in Nederland wordt niet eerder verwacht dan eind 2027</w:t>
            </w:r>
            <w:r w:rsidR="003F6CFC" w:rsidRPr="00EB39FD">
              <w:rPr>
                <w:lang w:val="nl-NL"/>
              </w:rPr>
              <w:t>.</w:t>
            </w:r>
          </w:p>
        </w:tc>
        <w:tc>
          <w:tcPr>
            <w:tcW w:w="3402" w:type="dxa"/>
            <w:tcBorders>
              <w:top w:val="single" w:sz="4" w:space="0" w:color="auto"/>
            </w:tcBorders>
          </w:tcPr>
          <w:p w14:paraId="20824E07" w14:textId="025ACEBF" w:rsidR="0027588F" w:rsidRPr="00EB39FD" w:rsidRDefault="000C16E9"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PSD3 is relevant voor betalingsinstellingen, e-geldinstellingen, </w:t>
            </w:r>
            <w:proofErr w:type="spellStart"/>
            <w:r w:rsidRPr="00EB39FD">
              <w:rPr>
                <w:lang w:val="nl-NL"/>
              </w:rPr>
              <w:t>fintechs</w:t>
            </w:r>
            <w:proofErr w:type="spellEnd"/>
            <w:r w:rsidRPr="00EB39FD">
              <w:rPr>
                <w:lang w:val="nl-NL"/>
              </w:rPr>
              <w:t xml:space="preserve">, </w:t>
            </w:r>
            <w:proofErr w:type="spellStart"/>
            <w:r w:rsidRPr="00EB39FD">
              <w:rPr>
                <w:lang w:val="nl-NL"/>
              </w:rPr>
              <w:t>merchants</w:t>
            </w:r>
            <w:proofErr w:type="spellEnd"/>
            <w:r w:rsidRPr="00EB39FD">
              <w:rPr>
                <w:lang w:val="nl-NL"/>
              </w:rPr>
              <w:t xml:space="preserve"> en non-bancaire financiers die betaaldiensten aanbieden of faciliteren. De aangescherpte aansprakelijkheidsregels bij APP-fraude en de verplichte IBAN-</w:t>
            </w:r>
            <w:proofErr w:type="spellStart"/>
            <w:r w:rsidRPr="00EB39FD">
              <w:rPr>
                <w:lang w:val="nl-NL"/>
              </w:rPr>
              <w:t>naamsverificatie</w:t>
            </w:r>
            <w:proofErr w:type="spellEnd"/>
            <w:r w:rsidRPr="00EB39FD">
              <w:rPr>
                <w:lang w:val="nl-NL"/>
              </w:rPr>
              <w:t xml:space="preserve"> vereisen aanpassingen in betalingsinfrastructuur en risicomodellen. Partijen die hun structuur baseren op een ruime lezing van de beperkte-netwerk- of handelsagentenuitsluiting dienen hun positie te </w:t>
            </w:r>
            <w:proofErr w:type="spellStart"/>
            <w:r w:rsidRPr="00EB39FD">
              <w:rPr>
                <w:lang w:val="nl-NL"/>
              </w:rPr>
              <w:t>herbeoordelen</w:t>
            </w:r>
            <w:proofErr w:type="spellEnd"/>
            <w:r w:rsidRPr="00EB39FD">
              <w:rPr>
                <w:lang w:val="nl-NL"/>
              </w:rPr>
              <w:t>.</w:t>
            </w:r>
          </w:p>
        </w:tc>
      </w:tr>
      <w:tr w:rsidR="000C16E9" w:rsidRPr="00EB39FD" w14:paraId="6E9EABE3" w14:textId="77777777" w:rsidTr="007250D4">
        <w:tc>
          <w:tcPr>
            <w:cnfStyle w:val="001000000000" w:firstRow="0" w:lastRow="0" w:firstColumn="1" w:lastColumn="0" w:oddVBand="0" w:evenVBand="0" w:oddHBand="0" w:evenHBand="0" w:firstRowFirstColumn="0" w:firstRowLastColumn="0" w:lastRowFirstColumn="0" w:lastRowLastColumn="0"/>
            <w:tcW w:w="2798" w:type="dxa"/>
            <w:tcBorders>
              <w:top w:val="single" w:sz="4" w:space="0" w:color="auto"/>
            </w:tcBorders>
          </w:tcPr>
          <w:p w14:paraId="1CAB78F5" w14:textId="7D3F6C55" w:rsidR="000C16E9" w:rsidRPr="00EB39FD" w:rsidRDefault="00F11A58" w:rsidP="00685EE0">
            <w:pPr>
              <w:rPr>
                <w:lang w:val="nl-NL"/>
              </w:rPr>
            </w:pPr>
            <w:r w:rsidRPr="00EB39FD">
              <w:rPr>
                <w:lang w:val="nl-NL"/>
              </w:rPr>
              <w:t xml:space="preserve">EU-verordening </w:t>
            </w:r>
            <w:r w:rsidR="00AF77C4" w:rsidRPr="00EB39FD">
              <w:rPr>
                <w:lang w:val="nl-NL"/>
              </w:rPr>
              <w:t>betaaldiensten</w:t>
            </w:r>
            <w:r w:rsidRPr="00EB39FD">
              <w:rPr>
                <w:lang w:val="nl-NL"/>
              </w:rPr>
              <w:t xml:space="preserve"> (PSR) (</w:t>
            </w:r>
            <w:proofErr w:type="gramStart"/>
            <w:r w:rsidRPr="00EB39FD">
              <w:rPr>
                <w:lang w:val="nl-NL"/>
              </w:rPr>
              <w:t>COM(</w:t>
            </w:r>
            <w:proofErr w:type="gramEnd"/>
            <w:r w:rsidRPr="00EB39FD">
              <w:rPr>
                <w:lang w:val="nl-NL"/>
              </w:rPr>
              <w:t>2023) 367)</w:t>
            </w:r>
          </w:p>
        </w:tc>
        <w:tc>
          <w:tcPr>
            <w:tcW w:w="2799" w:type="dxa"/>
            <w:tcBorders>
              <w:top w:val="single" w:sz="4" w:space="0" w:color="auto"/>
            </w:tcBorders>
          </w:tcPr>
          <w:p w14:paraId="794C2026" w14:textId="218B3C6D" w:rsidR="000C16E9" w:rsidRPr="00EB39FD" w:rsidRDefault="00697A9C"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Op 27 november 2025 hebben het Europees Parlement en de Raad gelijktijd</w:t>
            </w:r>
            <w:r w:rsidR="007056F6" w:rsidRPr="00EB39FD">
              <w:rPr>
                <w:lang w:val="nl-NL"/>
              </w:rPr>
              <w:t xml:space="preserve">ig met de PSD3 </w:t>
            </w:r>
            <w:r w:rsidRPr="00EB39FD">
              <w:rPr>
                <w:lang w:val="nl-NL"/>
              </w:rPr>
              <w:t xml:space="preserve">een voorlopig akkoord bereikt. </w:t>
            </w:r>
          </w:p>
        </w:tc>
        <w:tc>
          <w:tcPr>
            <w:tcW w:w="3192" w:type="dxa"/>
            <w:tcBorders>
              <w:top w:val="single" w:sz="4" w:space="0" w:color="auto"/>
            </w:tcBorders>
          </w:tcPr>
          <w:p w14:paraId="787A4724" w14:textId="025BC58B" w:rsidR="000C16E9" w:rsidRPr="00EB39FD" w:rsidRDefault="00F11A58"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De PSR </w:t>
            </w:r>
            <w:r w:rsidR="00EA07DB" w:rsidRPr="00EB39FD">
              <w:rPr>
                <w:lang w:val="nl-NL"/>
              </w:rPr>
              <w:t>is</w:t>
            </w:r>
            <w:r w:rsidRPr="00EB39FD">
              <w:rPr>
                <w:lang w:val="nl-NL"/>
              </w:rPr>
              <w:t xml:space="preserve"> het </w:t>
            </w:r>
            <w:r w:rsidR="00EA07DB" w:rsidRPr="00EB39FD">
              <w:rPr>
                <w:lang w:val="nl-NL"/>
              </w:rPr>
              <w:t xml:space="preserve">rechtstreeks toepasselijke </w:t>
            </w:r>
            <w:r w:rsidRPr="00EB39FD">
              <w:rPr>
                <w:lang w:val="nl-NL"/>
              </w:rPr>
              <w:t xml:space="preserve">uitvoeringsreglement bij PSD3 en bevat geharmoniseerde regels </w:t>
            </w:r>
            <w:proofErr w:type="gramStart"/>
            <w:r w:rsidRPr="00EB39FD">
              <w:rPr>
                <w:lang w:val="nl-NL"/>
              </w:rPr>
              <w:t>inzake</w:t>
            </w:r>
            <w:proofErr w:type="gramEnd"/>
            <w:r w:rsidRPr="00EB39FD">
              <w:rPr>
                <w:lang w:val="nl-NL"/>
              </w:rPr>
              <w:t xml:space="preserve"> aansprakelijkheid bij APP-fraude, </w:t>
            </w:r>
            <w:r w:rsidR="00EA07DB" w:rsidRPr="00EB39FD">
              <w:rPr>
                <w:lang w:val="nl-NL"/>
              </w:rPr>
              <w:t>valutaomrekening</w:t>
            </w:r>
            <w:r w:rsidRPr="00EB39FD">
              <w:rPr>
                <w:lang w:val="nl-NL"/>
              </w:rPr>
              <w:t>, prestatienormen voor open-banking-</w:t>
            </w:r>
            <w:proofErr w:type="spellStart"/>
            <w:r w:rsidRPr="00EB39FD">
              <w:rPr>
                <w:lang w:val="nl-NL"/>
              </w:rPr>
              <w:t>API's</w:t>
            </w:r>
            <w:proofErr w:type="spellEnd"/>
            <w:r w:rsidRPr="00EB39FD">
              <w:rPr>
                <w:lang w:val="nl-NL"/>
              </w:rPr>
              <w:t xml:space="preserve"> en sterke klantauthenticatie. De EBA zal nadere richtsnoeren uitvaardigen</w:t>
            </w:r>
            <w:r w:rsidR="00EA07DB" w:rsidRPr="00EB39FD">
              <w:rPr>
                <w:lang w:val="nl-NL"/>
              </w:rPr>
              <w:t xml:space="preserve"> over </w:t>
            </w:r>
            <w:r w:rsidRPr="00EB39FD">
              <w:rPr>
                <w:lang w:val="nl-NL"/>
              </w:rPr>
              <w:t>onder meer de uitsluitingen voor beperkte netwerken en handelsagenten.</w:t>
            </w:r>
          </w:p>
        </w:tc>
        <w:tc>
          <w:tcPr>
            <w:tcW w:w="2977" w:type="dxa"/>
            <w:tcBorders>
              <w:top w:val="single" w:sz="4" w:space="0" w:color="auto"/>
            </w:tcBorders>
          </w:tcPr>
          <w:p w14:paraId="06081B4E" w14:textId="0819C48D" w:rsidR="000C16E9" w:rsidRPr="00EB39FD" w:rsidRDefault="00F566C6"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PSR treedt in werking 20 dagen na publicatie in het Publicatieblad. Na een verwachte toepassingstermijn van 18 maanden wordt de PSR niet eerder dan eind 2027 van toepassing.</w:t>
            </w:r>
          </w:p>
        </w:tc>
        <w:tc>
          <w:tcPr>
            <w:tcW w:w="3402" w:type="dxa"/>
            <w:tcBorders>
              <w:top w:val="single" w:sz="4" w:space="0" w:color="auto"/>
            </w:tcBorders>
          </w:tcPr>
          <w:p w14:paraId="000C301E" w14:textId="0F8A4D42" w:rsidR="000C16E9" w:rsidRPr="00EB39FD" w:rsidRDefault="00F566C6"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Als rechtstreeks toepasselijke verordening elimineert de PSR de nationale beleidsruimte die onder PSD2 bestond. Voor betalingsinstellingen, e-geldinstellingen, </w:t>
            </w:r>
            <w:proofErr w:type="spellStart"/>
            <w:r w:rsidRPr="00EB39FD">
              <w:rPr>
                <w:lang w:val="nl-NL"/>
              </w:rPr>
              <w:t>fintechs</w:t>
            </w:r>
            <w:proofErr w:type="spellEnd"/>
            <w:r w:rsidRPr="00EB39FD">
              <w:rPr>
                <w:lang w:val="nl-NL"/>
              </w:rPr>
              <w:t xml:space="preserve"> en non-bancaire financiers is de directe toepasselijkheid van belang voor de inrichting van compliance-</w:t>
            </w:r>
            <w:proofErr w:type="spellStart"/>
            <w:r w:rsidRPr="00EB39FD">
              <w:rPr>
                <w:lang w:val="nl-NL"/>
              </w:rPr>
              <w:t>frameworks</w:t>
            </w:r>
            <w:proofErr w:type="spellEnd"/>
            <w:r w:rsidRPr="00EB39FD">
              <w:rPr>
                <w:lang w:val="nl-NL"/>
              </w:rPr>
              <w:t xml:space="preserve">, contractstructuren en operationele processen. De aansprakelijkheidsregels bij APP-fraude en de API-prestatienormen verhogen de operationele en </w:t>
            </w:r>
            <w:r w:rsidRPr="00EB39FD">
              <w:rPr>
                <w:lang w:val="nl-NL"/>
              </w:rPr>
              <w:lastRenderedPageBreak/>
              <w:t>financiële risico's, maar scheppen tegelijkertijd gelijkere concurrentievoorwaarden.</w:t>
            </w:r>
          </w:p>
        </w:tc>
      </w:tr>
      <w:tr w:rsidR="0061587E" w:rsidRPr="00EB39FD" w14:paraId="0C2C2241"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top w:val="single" w:sz="4" w:space="0" w:color="auto"/>
            </w:tcBorders>
          </w:tcPr>
          <w:p w14:paraId="5DF19315" w14:textId="1EBDC308" w:rsidR="0061587E" w:rsidRPr="00EB39FD" w:rsidRDefault="00FD6665" w:rsidP="00685EE0">
            <w:pPr>
              <w:rPr>
                <w:lang w:val="nl-NL"/>
              </w:rPr>
            </w:pPr>
            <w:r w:rsidRPr="00EB39FD">
              <w:rPr>
                <w:lang w:val="nl-NL"/>
              </w:rPr>
              <w:lastRenderedPageBreak/>
              <w:t xml:space="preserve">EU-richtlijn </w:t>
            </w:r>
            <w:proofErr w:type="gramStart"/>
            <w:r w:rsidRPr="00EB39FD">
              <w:rPr>
                <w:lang w:val="nl-NL"/>
              </w:rPr>
              <w:t>inzake</w:t>
            </w:r>
            <w:proofErr w:type="gramEnd"/>
            <w:r w:rsidRPr="00EB39FD">
              <w:rPr>
                <w:lang w:val="nl-NL"/>
              </w:rPr>
              <w:t xml:space="preserve"> alternatieve beleggingsinstellingen II </w:t>
            </w:r>
            <w:r w:rsidR="00B44197" w:rsidRPr="00EB39FD">
              <w:rPr>
                <w:lang w:val="nl-NL"/>
              </w:rPr>
              <w:t xml:space="preserve">(AIFMD II) </w:t>
            </w:r>
            <w:r w:rsidRPr="00EB39FD">
              <w:rPr>
                <w:lang w:val="nl-NL"/>
              </w:rPr>
              <w:t>(2024/927/EU)</w:t>
            </w:r>
          </w:p>
        </w:tc>
        <w:tc>
          <w:tcPr>
            <w:tcW w:w="2799" w:type="dxa"/>
            <w:tcBorders>
              <w:top w:val="single" w:sz="4" w:space="0" w:color="auto"/>
            </w:tcBorders>
          </w:tcPr>
          <w:p w14:paraId="17A466FF" w14:textId="7B920865" w:rsidR="0061587E" w:rsidRPr="00EB39FD" w:rsidRDefault="000D55A2"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De implementatiewet (implementatiewet gewijzigde AIFM-richtlijn en </w:t>
            </w:r>
            <w:proofErr w:type="spellStart"/>
            <w:r w:rsidRPr="00EB39FD">
              <w:rPr>
                <w:lang w:val="nl-NL"/>
              </w:rPr>
              <w:t>icbe</w:t>
            </w:r>
            <w:proofErr w:type="spellEnd"/>
            <w:r w:rsidRPr="00EB39FD">
              <w:rPr>
                <w:lang w:val="nl-NL"/>
              </w:rPr>
              <w:t>-richtlijn) is inwerking getreden per 29 mei 2026.</w:t>
            </w:r>
            <w:r w:rsidR="00867DF5" w:rsidRPr="00EB39FD">
              <w:rPr>
                <w:lang w:val="nl-NL"/>
              </w:rPr>
              <w:t xml:space="preserve"> </w:t>
            </w:r>
          </w:p>
        </w:tc>
        <w:tc>
          <w:tcPr>
            <w:tcW w:w="3192" w:type="dxa"/>
            <w:tcBorders>
              <w:top w:val="single" w:sz="4" w:space="0" w:color="auto"/>
            </w:tcBorders>
          </w:tcPr>
          <w:p w14:paraId="190FFA5D" w14:textId="177A36F5" w:rsidR="0061587E" w:rsidRPr="00EB39FD" w:rsidRDefault="00984643"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AIFMD II is een herziening van de oorspronkelijke AIFM-richtlijn en introduceert nieuwe bepalingen voor beheerders van alternatieve beleggingsinstellingen en de door hen beheerde alternatieve beleggingsinstellingen.</w:t>
            </w:r>
          </w:p>
        </w:tc>
        <w:tc>
          <w:tcPr>
            <w:tcW w:w="2977" w:type="dxa"/>
            <w:tcBorders>
              <w:top w:val="single" w:sz="4" w:space="0" w:color="auto"/>
            </w:tcBorders>
          </w:tcPr>
          <w:p w14:paraId="15047E55" w14:textId="2E88F4B5" w:rsidR="0061587E" w:rsidRPr="00EB39FD" w:rsidRDefault="004409E2"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29 mei 2026. </w:t>
            </w:r>
            <w:r w:rsidR="005C104C" w:rsidRPr="00EB39FD">
              <w:rPr>
                <w:lang w:val="nl-NL"/>
              </w:rPr>
              <w:t xml:space="preserve">Uitzondering: de artikelen </w:t>
            </w:r>
            <w:proofErr w:type="gramStart"/>
            <w:r w:rsidR="005C104C" w:rsidRPr="00EB39FD">
              <w:rPr>
                <w:lang w:val="nl-NL"/>
              </w:rPr>
              <w:t>inzake</w:t>
            </w:r>
            <w:proofErr w:type="gramEnd"/>
            <w:r w:rsidR="005C104C" w:rsidRPr="00EB39FD">
              <w:rPr>
                <w:lang w:val="nl-NL"/>
              </w:rPr>
              <w:t xml:space="preserve"> rapportageverplichtingen (art. I, onderdelen T en Z) treden in werking per 16 april 2027.</w:t>
            </w:r>
          </w:p>
        </w:tc>
        <w:tc>
          <w:tcPr>
            <w:tcW w:w="3402" w:type="dxa"/>
            <w:tcBorders>
              <w:top w:val="single" w:sz="4" w:space="0" w:color="auto"/>
            </w:tcBorders>
          </w:tcPr>
          <w:p w14:paraId="686F2D5C" w14:textId="6ADFD07E" w:rsidR="0061587E" w:rsidRPr="00EB39FD" w:rsidRDefault="00E527C6"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AIFMD II introduceert nieuwe definities, zoals ‘</w:t>
            </w:r>
            <w:r w:rsidR="00E86005" w:rsidRPr="00EB39FD">
              <w:rPr>
                <w:lang w:val="nl-NL"/>
              </w:rPr>
              <w:t>initiëren</w:t>
            </w:r>
            <w:r w:rsidR="005C104C" w:rsidRPr="00EB39FD">
              <w:rPr>
                <w:lang w:val="nl-NL"/>
              </w:rPr>
              <w:t xml:space="preserve"> van leningen’ en ‘</w:t>
            </w:r>
            <w:proofErr w:type="spellStart"/>
            <w:r w:rsidR="005C104C" w:rsidRPr="00EB39FD">
              <w:rPr>
                <w:lang w:val="nl-NL"/>
              </w:rPr>
              <w:t>leninginitiërende</w:t>
            </w:r>
            <w:proofErr w:type="spellEnd"/>
            <w:r w:rsidR="005C104C" w:rsidRPr="00EB39FD">
              <w:rPr>
                <w:lang w:val="nl-NL"/>
              </w:rPr>
              <w:t xml:space="preserve"> beleggingsinstelling’, waarvoor nieuwe regels worde</w:t>
            </w:r>
            <w:r w:rsidR="00873762" w:rsidRPr="00EB39FD">
              <w:rPr>
                <w:lang w:val="nl-NL"/>
              </w:rPr>
              <w:t>n</w:t>
            </w:r>
            <w:r w:rsidR="005C104C" w:rsidRPr="00EB39FD">
              <w:rPr>
                <w:lang w:val="nl-NL"/>
              </w:rPr>
              <w:t xml:space="preserve"> geïntroduceerd. Bevat </w:t>
            </w:r>
            <w:proofErr w:type="gramStart"/>
            <w:r w:rsidR="005C104C" w:rsidRPr="00EB39FD">
              <w:rPr>
                <w:lang w:val="nl-NL"/>
              </w:rPr>
              <w:t>tevens</w:t>
            </w:r>
            <w:proofErr w:type="gramEnd"/>
            <w:r w:rsidR="005C104C" w:rsidRPr="00EB39FD">
              <w:rPr>
                <w:lang w:val="nl-NL"/>
              </w:rPr>
              <w:t xml:space="preserve"> harmonisatie van liquiditeitsb</w:t>
            </w:r>
            <w:r w:rsidR="00FF2E47" w:rsidRPr="00EB39FD">
              <w:rPr>
                <w:lang w:val="nl-NL"/>
              </w:rPr>
              <w:t>eheersinstrumenten en nieuwe vereisten met betrekking tot zowel de reikwijdte van, als de rapportage over delegatiepraktijken.</w:t>
            </w:r>
          </w:p>
        </w:tc>
      </w:tr>
      <w:tr w:rsidR="0061587E" w:rsidRPr="00EB39FD" w14:paraId="4DFCA919" w14:textId="77777777" w:rsidTr="007250D4">
        <w:tc>
          <w:tcPr>
            <w:cnfStyle w:val="001000000000" w:firstRow="0" w:lastRow="0" w:firstColumn="1" w:lastColumn="0" w:oddVBand="0" w:evenVBand="0" w:oddHBand="0" w:evenHBand="0" w:firstRowFirstColumn="0" w:firstRowLastColumn="0" w:lastRowFirstColumn="0" w:lastRowLastColumn="0"/>
            <w:tcW w:w="2798" w:type="dxa"/>
          </w:tcPr>
          <w:p w14:paraId="142AC672" w14:textId="7F66E395" w:rsidR="0061587E" w:rsidRPr="00EB39FD" w:rsidRDefault="00FC7192" w:rsidP="00685EE0">
            <w:pPr>
              <w:rPr>
                <w:lang w:val="nl-NL"/>
              </w:rPr>
            </w:pPr>
            <w:r w:rsidRPr="00EB39FD">
              <w:rPr>
                <w:lang w:val="nl-NL"/>
              </w:rPr>
              <w:t xml:space="preserve">EU-richtlijn </w:t>
            </w:r>
            <w:proofErr w:type="gramStart"/>
            <w:r w:rsidRPr="00EB39FD">
              <w:rPr>
                <w:lang w:val="nl-NL"/>
              </w:rPr>
              <w:t>inzake</w:t>
            </w:r>
            <w:proofErr w:type="gramEnd"/>
            <w:r w:rsidRPr="00EB39FD">
              <w:rPr>
                <w:lang w:val="nl-NL"/>
              </w:rPr>
              <w:t xml:space="preserve"> kredietovereenkomsten voor consumenten </w:t>
            </w:r>
            <w:r w:rsidR="00971BCC" w:rsidRPr="00EB39FD">
              <w:rPr>
                <w:lang w:val="nl-NL"/>
              </w:rPr>
              <w:t xml:space="preserve">(CCDII) </w:t>
            </w:r>
            <w:r w:rsidRPr="00EB39FD">
              <w:rPr>
                <w:lang w:val="nl-NL"/>
              </w:rPr>
              <w:t>(2023/2225/EU)</w:t>
            </w:r>
          </w:p>
        </w:tc>
        <w:tc>
          <w:tcPr>
            <w:tcW w:w="2799" w:type="dxa"/>
          </w:tcPr>
          <w:p w14:paraId="480BCB0C" w14:textId="6B66ACDB" w:rsidR="0061587E" w:rsidRPr="00EB39FD" w:rsidRDefault="000B0264"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De implementatiewet is op 2 april 2026 bij de Tweede Kamer ingediend. Op 21 mei 2026 is het verslag vastgesteld (36924, nr. 6). De nota naar aanleiding van het verslag is op 25 juni 2026 uitgebracht (36924, nr. 8). Op 2 juli 2026 is besloten het wetsvoorstel te agenderen voor een wetgevingsoverleg op 28 september 2026. </w:t>
            </w:r>
            <w:r w:rsidRPr="00EB39FD">
              <w:t xml:space="preserve">Tot die </w:t>
            </w:r>
            <w:proofErr w:type="spellStart"/>
            <w:r w:rsidRPr="00EB39FD">
              <w:t>tijd</w:t>
            </w:r>
            <w:proofErr w:type="spellEnd"/>
            <w:r w:rsidRPr="00EB39FD">
              <w:t xml:space="preserve"> </w:t>
            </w:r>
            <w:proofErr w:type="spellStart"/>
            <w:r w:rsidRPr="00EB39FD">
              <w:t>ligt</w:t>
            </w:r>
            <w:proofErr w:type="spellEnd"/>
            <w:r w:rsidRPr="00EB39FD">
              <w:t xml:space="preserve"> de </w:t>
            </w:r>
            <w:proofErr w:type="spellStart"/>
            <w:r w:rsidRPr="00EB39FD">
              <w:t>behandeling</w:t>
            </w:r>
            <w:proofErr w:type="spellEnd"/>
            <w:r w:rsidRPr="00EB39FD">
              <w:t xml:space="preserve"> </w:t>
            </w:r>
            <w:proofErr w:type="spellStart"/>
            <w:r w:rsidRPr="00EB39FD">
              <w:t>stil</w:t>
            </w:r>
            <w:proofErr w:type="spellEnd"/>
            <w:r w:rsidRPr="00EB39FD">
              <w:t>.</w:t>
            </w:r>
          </w:p>
        </w:tc>
        <w:tc>
          <w:tcPr>
            <w:tcW w:w="3192" w:type="dxa"/>
          </w:tcPr>
          <w:p w14:paraId="077957B7" w14:textId="730D9773" w:rsidR="0061587E" w:rsidRPr="00EB39FD" w:rsidRDefault="004D344A"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De EU-richtlijn consumentenkrediet gaat ook gelden voor leningen van minder dan EUR 200 en tot EUR 100.000, en voor bepaalde koop-op-afbetaling-regelingen (zoals </w:t>
            </w:r>
            <w:proofErr w:type="spellStart"/>
            <w:r w:rsidRPr="00EB39FD">
              <w:rPr>
                <w:lang w:val="nl-NL"/>
              </w:rPr>
              <w:t>Buy</w:t>
            </w:r>
            <w:proofErr w:type="spellEnd"/>
            <w:r w:rsidRPr="00EB39FD">
              <w:rPr>
                <w:lang w:val="nl-NL"/>
              </w:rPr>
              <w:t xml:space="preserve"> </w:t>
            </w:r>
            <w:proofErr w:type="spellStart"/>
            <w:r w:rsidRPr="00EB39FD">
              <w:rPr>
                <w:lang w:val="nl-NL"/>
              </w:rPr>
              <w:t>Now</w:t>
            </w:r>
            <w:proofErr w:type="spellEnd"/>
            <w:r w:rsidRPr="00EB39FD">
              <w:rPr>
                <w:lang w:val="nl-NL"/>
              </w:rPr>
              <w:t xml:space="preserve"> </w:t>
            </w:r>
            <w:proofErr w:type="spellStart"/>
            <w:r w:rsidRPr="00EB39FD">
              <w:rPr>
                <w:lang w:val="nl-NL"/>
              </w:rPr>
              <w:t>Pay</w:t>
            </w:r>
            <w:proofErr w:type="spellEnd"/>
            <w:r w:rsidRPr="00EB39FD">
              <w:rPr>
                <w:lang w:val="nl-NL"/>
              </w:rPr>
              <w:t xml:space="preserve"> Later services).</w:t>
            </w:r>
          </w:p>
        </w:tc>
        <w:tc>
          <w:tcPr>
            <w:tcW w:w="2977" w:type="dxa"/>
          </w:tcPr>
          <w:p w14:paraId="5526BE7A" w14:textId="42077EE4" w:rsidR="0061587E" w:rsidRPr="00EB39FD" w:rsidRDefault="000B0264"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uiterste implementatiedatum was 20 november 2025; beoogd is dat de wet uiterlijk op 20 november 2026 in werking treedt. Gelet op het wetgevingsoverleg van 28 september 2026 wordt deze planning krap.</w:t>
            </w:r>
          </w:p>
        </w:tc>
        <w:tc>
          <w:tcPr>
            <w:tcW w:w="3402" w:type="dxa"/>
          </w:tcPr>
          <w:p w14:paraId="4A663499" w14:textId="5E98A96B" w:rsidR="0061587E" w:rsidRPr="00EB39FD" w:rsidRDefault="00760D27"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Meer verstrekkers van consumentenkrediet en aanbieders van </w:t>
            </w:r>
            <w:proofErr w:type="spellStart"/>
            <w:r w:rsidRPr="00EB39FD">
              <w:rPr>
                <w:lang w:val="nl-NL"/>
              </w:rPr>
              <w:t>Buy</w:t>
            </w:r>
            <w:proofErr w:type="spellEnd"/>
            <w:r w:rsidRPr="00EB39FD">
              <w:rPr>
                <w:lang w:val="nl-NL"/>
              </w:rPr>
              <w:t xml:space="preserve"> </w:t>
            </w:r>
            <w:proofErr w:type="spellStart"/>
            <w:r w:rsidRPr="00EB39FD">
              <w:rPr>
                <w:lang w:val="nl-NL"/>
              </w:rPr>
              <w:t>Now</w:t>
            </w:r>
            <w:proofErr w:type="spellEnd"/>
            <w:r w:rsidRPr="00EB39FD">
              <w:rPr>
                <w:lang w:val="nl-NL"/>
              </w:rPr>
              <w:t xml:space="preserve"> </w:t>
            </w:r>
            <w:proofErr w:type="spellStart"/>
            <w:r w:rsidRPr="00EB39FD">
              <w:rPr>
                <w:lang w:val="nl-NL"/>
              </w:rPr>
              <w:t>Pay</w:t>
            </w:r>
            <w:proofErr w:type="spellEnd"/>
            <w:r w:rsidRPr="00EB39FD">
              <w:rPr>
                <w:lang w:val="nl-NL"/>
              </w:rPr>
              <w:t xml:space="preserve"> Later services moeten aan de richtlijn consumentenkrediet voldoen.</w:t>
            </w:r>
          </w:p>
        </w:tc>
      </w:tr>
      <w:tr w:rsidR="0061587E" w:rsidRPr="00EB39FD" w14:paraId="52F8E169"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70F003EA" w14:textId="1497DBCB" w:rsidR="0061587E" w:rsidRPr="00EB39FD" w:rsidRDefault="00F14709" w:rsidP="00685EE0">
            <w:pPr>
              <w:rPr>
                <w:lang w:val="nl-NL"/>
              </w:rPr>
            </w:pPr>
            <w:r w:rsidRPr="00EB39FD">
              <w:rPr>
                <w:lang w:val="nl-NL"/>
              </w:rPr>
              <w:t xml:space="preserve">EU-richtlijn </w:t>
            </w:r>
            <w:proofErr w:type="gramStart"/>
            <w:r w:rsidRPr="00EB39FD">
              <w:rPr>
                <w:lang w:val="nl-NL"/>
              </w:rPr>
              <w:t>inzake</w:t>
            </w:r>
            <w:proofErr w:type="gramEnd"/>
            <w:r w:rsidRPr="00EB39FD">
              <w:rPr>
                <w:lang w:val="nl-NL"/>
              </w:rPr>
              <w:t xml:space="preserve"> </w:t>
            </w:r>
            <w:proofErr w:type="spellStart"/>
            <w:r w:rsidRPr="00EB39FD">
              <w:rPr>
                <w:lang w:val="nl-NL"/>
              </w:rPr>
              <w:t>kredietservicers</w:t>
            </w:r>
            <w:proofErr w:type="spellEnd"/>
            <w:r w:rsidRPr="00EB39FD">
              <w:rPr>
                <w:lang w:val="nl-NL"/>
              </w:rPr>
              <w:t xml:space="preserve"> en kredietkopers (2021/2167/EU)</w:t>
            </w:r>
          </w:p>
        </w:tc>
        <w:tc>
          <w:tcPr>
            <w:tcW w:w="2799" w:type="dxa"/>
          </w:tcPr>
          <w:p w14:paraId="42D30E0F" w14:textId="53CA69DA" w:rsidR="0061587E" w:rsidRPr="00EB39FD" w:rsidRDefault="0063540D"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De</w:t>
            </w:r>
            <w:r w:rsidR="00832198" w:rsidRPr="00EB39FD">
              <w:rPr>
                <w:lang w:val="nl-NL"/>
              </w:rPr>
              <w:t xml:space="preserve"> implementatiewet</w:t>
            </w:r>
            <w:r w:rsidRPr="00EB39FD">
              <w:rPr>
                <w:lang w:val="nl-NL"/>
              </w:rPr>
              <w:t xml:space="preserve"> </w:t>
            </w:r>
            <w:r w:rsidR="00832198" w:rsidRPr="00EB39FD">
              <w:rPr>
                <w:lang w:val="nl-NL"/>
              </w:rPr>
              <w:t>(</w:t>
            </w:r>
            <w:r w:rsidRPr="00EB39FD">
              <w:rPr>
                <w:i/>
                <w:iCs/>
                <w:lang w:val="nl-NL"/>
              </w:rPr>
              <w:t xml:space="preserve">Implementatiewet richtlijn </w:t>
            </w:r>
            <w:proofErr w:type="spellStart"/>
            <w:r w:rsidRPr="00EB39FD">
              <w:rPr>
                <w:i/>
                <w:iCs/>
                <w:lang w:val="nl-NL"/>
              </w:rPr>
              <w:t>kredietservicers</w:t>
            </w:r>
            <w:proofErr w:type="spellEnd"/>
            <w:r w:rsidRPr="00EB39FD">
              <w:rPr>
                <w:i/>
                <w:iCs/>
                <w:lang w:val="nl-NL"/>
              </w:rPr>
              <w:t xml:space="preserve"> en kredietkopers</w:t>
            </w:r>
            <w:r w:rsidR="00832198" w:rsidRPr="00EB39FD">
              <w:rPr>
                <w:lang w:val="nl-NL"/>
              </w:rPr>
              <w:t>)</w:t>
            </w:r>
            <w:r w:rsidRPr="00EB39FD">
              <w:rPr>
                <w:lang w:val="nl-NL"/>
              </w:rPr>
              <w:t xml:space="preserve"> is inwerking</w:t>
            </w:r>
            <w:r w:rsidR="00C857D1" w:rsidRPr="00EB39FD">
              <w:rPr>
                <w:lang w:val="nl-NL"/>
              </w:rPr>
              <w:t xml:space="preserve"> getreden per 18 juli 2025.</w:t>
            </w:r>
          </w:p>
        </w:tc>
        <w:tc>
          <w:tcPr>
            <w:tcW w:w="3192" w:type="dxa"/>
          </w:tcPr>
          <w:p w14:paraId="35CF3E93" w14:textId="14D2E169" w:rsidR="0061587E" w:rsidRPr="00EB39FD" w:rsidRDefault="005F35DE"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De richtlijn biedt een regelgevend kader voor (i) de overdracht door banken van niet-renderende kredietovereenkomsten (non-</w:t>
            </w:r>
            <w:proofErr w:type="spellStart"/>
            <w:r w:rsidRPr="00EB39FD">
              <w:rPr>
                <w:lang w:val="nl-NL"/>
              </w:rPr>
              <w:t>performing</w:t>
            </w:r>
            <w:proofErr w:type="spellEnd"/>
            <w:r w:rsidRPr="00EB39FD">
              <w:rPr>
                <w:lang w:val="nl-NL"/>
              </w:rPr>
              <w:t xml:space="preserve"> </w:t>
            </w:r>
            <w:proofErr w:type="spellStart"/>
            <w:r w:rsidRPr="00EB39FD">
              <w:rPr>
                <w:lang w:val="nl-NL"/>
              </w:rPr>
              <w:t>loans</w:t>
            </w:r>
            <w:proofErr w:type="spellEnd"/>
            <w:r w:rsidRPr="00EB39FD">
              <w:rPr>
                <w:lang w:val="nl-NL"/>
              </w:rPr>
              <w:t xml:space="preserve">: </w:t>
            </w:r>
            <w:proofErr w:type="spellStart"/>
            <w:r w:rsidRPr="00EB39FD">
              <w:rPr>
                <w:lang w:val="nl-NL"/>
              </w:rPr>
              <w:t>NPL's</w:t>
            </w:r>
            <w:proofErr w:type="spellEnd"/>
            <w:r w:rsidRPr="00EB39FD">
              <w:rPr>
                <w:lang w:val="nl-NL"/>
              </w:rPr>
              <w:t xml:space="preserve">) in de zin </w:t>
            </w:r>
            <w:r w:rsidRPr="00EB39FD">
              <w:rPr>
                <w:lang w:val="nl-NL"/>
              </w:rPr>
              <w:lastRenderedPageBreak/>
              <w:t xml:space="preserve">van de richtlijn of van de rechten voortvloeiende uit dergelijke overeenkomsten </w:t>
            </w:r>
            <w:proofErr w:type="gramStart"/>
            <w:r w:rsidRPr="00EB39FD">
              <w:rPr>
                <w:lang w:val="nl-NL"/>
              </w:rPr>
              <w:t>alsmede</w:t>
            </w:r>
            <w:proofErr w:type="gramEnd"/>
            <w:r w:rsidRPr="00EB39FD">
              <w:rPr>
                <w:lang w:val="nl-NL"/>
              </w:rPr>
              <w:t xml:space="preserve"> voor (ii) het beheer van dergelijke overeenkomsten en rechten door zogenoemde </w:t>
            </w:r>
            <w:proofErr w:type="spellStart"/>
            <w:r w:rsidRPr="00EB39FD">
              <w:rPr>
                <w:lang w:val="nl-NL"/>
              </w:rPr>
              <w:t>kredietservicers</w:t>
            </w:r>
            <w:proofErr w:type="spellEnd"/>
            <w:r w:rsidRPr="00EB39FD">
              <w:rPr>
                <w:lang w:val="nl-NL"/>
              </w:rPr>
              <w:t>.</w:t>
            </w:r>
          </w:p>
        </w:tc>
        <w:tc>
          <w:tcPr>
            <w:tcW w:w="2977" w:type="dxa"/>
          </w:tcPr>
          <w:p w14:paraId="6AA0612B" w14:textId="7F7338AF" w:rsidR="0061587E" w:rsidRPr="00EB39FD" w:rsidRDefault="003A7161"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lastRenderedPageBreak/>
              <w:t>18 juli 2025</w:t>
            </w:r>
          </w:p>
        </w:tc>
        <w:tc>
          <w:tcPr>
            <w:tcW w:w="3402" w:type="dxa"/>
          </w:tcPr>
          <w:p w14:paraId="25BCB1AC" w14:textId="4A22A3F6" w:rsidR="0061587E" w:rsidRPr="00EB39FD" w:rsidRDefault="00C27A1D"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De richtlijn beoogt een bijdrage te leveren aan de strategie van de Europese Unie om het volume aan </w:t>
            </w:r>
            <w:proofErr w:type="spellStart"/>
            <w:r w:rsidRPr="00EB39FD">
              <w:rPr>
                <w:lang w:val="nl-NL"/>
              </w:rPr>
              <w:t>NPL's</w:t>
            </w:r>
            <w:proofErr w:type="spellEnd"/>
            <w:r w:rsidRPr="00EB39FD">
              <w:rPr>
                <w:lang w:val="nl-NL"/>
              </w:rPr>
              <w:t xml:space="preserve"> op bankbalansen te verlagen.</w:t>
            </w:r>
          </w:p>
        </w:tc>
      </w:tr>
      <w:tr w:rsidR="00796C5A" w:rsidRPr="00EB39FD" w14:paraId="62725E55" w14:textId="77777777" w:rsidTr="007250D4">
        <w:tc>
          <w:tcPr>
            <w:cnfStyle w:val="001000000000" w:firstRow="0" w:lastRow="0" w:firstColumn="1" w:lastColumn="0" w:oddVBand="0" w:evenVBand="0" w:oddHBand="0" w:evenHBand="0" w:firstRowFirstColumn="0" w:firstRowLastColumn="0" w:lastRowFirstColumn="0" w:lastRowLastColumn="0"/>
            <w:tcW w:w="2798" w:type="dxa"/>
          </w:tcPr>
          <w:p w14:paraId="6BBB3C88" w14:textId="2D8DC327" w:rsidR="00796C5A" w:rsidRPr="00EB39FD" w:rsidRDefault="00796C5A" w:rsidP="00685EE0">
            <w:pPr>
              <w:rPr>
                <w:lang w:val="nl-NL"/>
              </w:rPr>
            </w:pPr>
            <w:r w:rsidRPr="00EB39FD">
              <w:rPr>
                <w:lang w:val="nl-NL"/>
              </w:rPr>
              <w:t xml:space="preserve">EU-richtlijn </w:t>
            </w:r>
            <w:proofErr w:type="gramStart"/>
            <w:r w:rsidRPr="00EB39FD">
              <w:rPr>
                <w:lang w:val="nl-NL"/>
              </w:rPr>
              <w:t>inzake</w:t>
            </w:r>
            <w:proofErr w:type="gramEnd"/>
            <w:r w:rsidRPr="00EB39FD">
              <w:rPr>
                <w:lang w:val="nl-NL"/>
              </w:rPr>
              <w:t xml:space="preserve"> toezichtsbevoegdheden, sancties, bijkantoren uit derde landen en ESG-risico's (CRD</w:t>
            </w:r>
            <w:r w:rsidR="00090E59" w:rsidRPr="00EB39FD">
              <w:rPr>
                <w:lang w:val="nl-NL"/>
              </w:rPr>
              <w:t xml:space="preserve"> VI</w:t>
            </w:r>
            <w:r w:rsidRPr="00EB39FD">
              <w:rPr>
                <w:lang w:val="nl-NL"/>
              </w:rPr>
              <w:t>) (2024/1619/EU)</w:t>
            </w:r>
          </w:p>
        </w:tc>
        <w:tc>
          <w:tcPr>
            <w:tcW w:w="2799" w:type="dxa"/>
          </w:tcPr>
          <w:p w14:paraId="090E0C6B" w14:textId="45733C2F" w:rsidR="00770DA0" w:rsidRPr="00EB39FD" w:rsidRDefault="00B52BFB"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implementatiewet</w:t>
            </w:r>
            <w:r w:rsidR="004C4225" w:rsidRPr="00EB39FD">
              <w:rPr>
                <w:lang w:val="nl-NL"/>
              </w:rPr>
              <w:t xml:space="preserve"> is op 28 mei 2026 als hamerstuk aangenomen door de Tweede Kamer. De Eerste Kamer heeft het na een blanco verslag op 16 juni 2026 eveneens als hamerstuk </w:t>
            </w:r>
            <w:r w:rsidRPr="00EB39FD">
              <w:rPr>
                <w:lang w:val="nl-NL"/>
              </w:rPr>
              <w:t>aangenomen</w:t>
            </w:r>
            <w:r w:rsidR="004C4225" w:rsidRPr="00EB39FD">
              <w:rPr>
                <w:lang w:val="nl-NL"/>
              </w:rPr>
              <w:t>.</w:t>
            </w:r>
          </w:p>
        </w:tc>
        <w:tc>
          <w:tcPr>
            <w:tcW w:w="3192" w:type="dxa"/>
          </w:tcPr>
          <w:p w14:paraId="7AFF24A2" w14:textId="53E0FE2D" w:rsidR="00796C5A" w:rsidRPr="00EB39FD" w:rsidRDefault="00A84CE2"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richtlijn wijzigt de bestaande kapitaalvereistenrichtlijn (CRD) op de onderdelen toezichtsbevoegdheden, sancties, bijkantoren uit derde landen en ESG-risico's. Banken worden verplicht om ESG-risico's te integreren in hun risicobeheer en kapitaalplanning, en DNB krijgt de bevoegdheid om banken voor te schrijven de risico's te verminderen die op korte, middellange en lange termijn uit ESG-factoren voortvloeien. Daarnaast introduceert de richtlijn een geharmoniseerd regime voor bijkantoren van banken uit derde landen en nieuwe geschiktheids- en betrouwbaarheidseisen voor medewerkers met een sleutelfunctie.</w:t>
            </w:r>
          </w:p>
        </w:tc>
        <w:tc>
          <w:tcPr>
            <w:tcW w:w="2977" w:type="dxa"/>
          </w:tcPr>
          <w:p w14:paraId="292D4ACC" w14:textId="39319560" w:rsidR="00796C5A" w:rsidRPr="00EB39FD" w:rsidRDefault="00B52BFB" w:rsidP="00FF63BD">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Nog niet in werking getreden. De datum van inwerkingtreding zal bij koninklijk besluit worden vastgesteld.</w:t>
            </w:r>
          </w:p>
        </w:tc>
        <w:tc>
          <w:tcPr>
            <w:tcW w:w="3402" w:type="dxa"/>
          </w:tcPr>
          <w:p w14:paraId="499B35F9" w14:textId="6A361A9A" w:rsidR="00796C5A" w:rsidRPr="00EB39FD" w:rsidRDefault="00A84CE2" w:rsidP="00685EE0">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richtlijn is primair gericht op banken, maar is indirect relevant voor de non-bancaire financieringspraktijk. Banken worden verplicht ESG-risico's mee te wegen in hun kredietbeoordeling, wat kan leiden tot hogere financieringskosten of minder beschikbaarheid van bancaire financiering voor ondernemingen met een hoog ESG-risicoprofiel. Dit kan de vraag naar non-bancaire financiering verder stimuleren en de concurrentiepositie van non-bancaire financiers — die niet aan dezelfde ESG-kapitaalvereisten zijn gebonden — versterken.</w:t>
            </w:r>
          </w:p>
        </w:tc>
      </w:tr>
      <w:tr w:rsidR="0061587E" w:rsidRPr="00EB39FD" w14:paraId="7377B6AF"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30EC4F63" w14:textId="0920AE19" w:rsidR="0061587E" w:rsidRPr="00EB39FD" w:rsidRDefault="00F7272E" w:rsidP="00685EE0">
            <w:pPr>
              <w:rPr>
                <w:lang w:val="nl-NL"/>
              </w:rPr>
            </w:pPr>
            <w:r w:rsidRPr="00EB39FD">
              <w:rPr>
                <w:lang w:val="nl-NL"/>
              </w:rPr>
              <w:t xml:space="preserve">EU-richtlijn </w:t>
            </w:r>
            <w:r w:rsidR="00E97687" w:rsidRPr="00EB39FD">
              <w:rPr>
                <w:lang w:val="nl-NL"/>
              </w:rPr>
              <w:t>met betrekking tot</w:t>
            </w:r>
            <w:r w:rsidRPr="00EB39FD">
              <w:rPr>
                <w:lang w:val="nl-NL"/>
              </w:rPr>
              <w:t xml:space="preserve"> duurzaamheidsrapportering door ondernemingen (CSRD) (2022/2464/EU)</w:t>
            </w:r>
          </w:p>
        </w:tc>
        <w:tc>
          <w:tcPr>
            <w:tcW w:w="2799" w:type="dxa"/>
          </w:tcPr>
          <w:p w14:paraId="74AE656C" w14:textId="2C4D3950" w:rsidR="0061587E" w:rsidRPr="00EB39FD" w:rsidRDefault="00F8489F" w:rsidP="00411FAE">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De implementatiewet is nog in behandeling bij de Tweede Kamer. De behandeling is op 12 februari 2026 aangehouden in afwachting van de EU-</w:t>
            </w:r>
            <w:r w:rsidRPr="00EB39FD">
              <w:rPr>
                <w:lang w:val="nl-NL"/>
              </w:rPr>
              <w:lastRenderedPageBreak/>
              <w:t>wijzigingsrichtlijn (Omnibus I) en de daaruit voortvloeiende nota van wijziging. De minister heeft in een Kamerbrief van 9 februari 2026 een reparatiebepaling aangekondigd.</w:t>
            </w:r>
          </w:p>
        </w:tc>
        <w:tc>
          <w:tcPr>
            <w:tcW w:w="3192" w:type="dxa"/>
          </w:tcPr>
          <w:p w14:paraId="6175E5FB" w14:textId="2C8CE49A" w:rsidR="0061587E" w:rsidRPr="00EB39FD" w:rsidRDefault="00F502BA"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lastRenderedPageBreak/>
              <w:t xml:space="preserve">Rapportageverplichtingen over duurzaamheidsstrategie, duurzaamheidsdoelstellingen, duurzaamheidsbeleid en </w:t>
            </w:r>
            <w:r w:rsidRPr="00EB39FD">
              <w:rPr>
                <w:lang w:val="nl-NL"/>
              </w:rPr>
              <w:lastRenderedPageBreak/>
              <w:t>maatregelen en bewaken van de voortgang.</w:t>
            </w:r>
          </w:p>
        </w:tc>
        <w:tc>
          <w:tcPr>
            <w:tcW w:w="2977" w:type="dxa"/>
          </w:tcPr>
          <w:p w14:paraId="44DB8D15" w14:textId="77777777" w:rsidR="00406C26" w:rsidRPr="00EB39FD" w:rsidRDefault="00406C26" w:rsidP="00406C26">
            <w:pPr>
              <w:cnfStyle w:val="000000100000" w:firstRow="0" w:lastRow="0" w:firstColumn="0" w:lastColumn="0" w:oddVBand="0" w:evenVBand="0" w:oddHBand="1" w:evenHBand="0" w:firstRowFirstColumn="0" w:firstRowLastColumn="0" w:lastRowFirstColumn="0" w:lastRowLastColumn="0"/>
              <w:rPr>
                <w:lang w:val="nl-NL"/>
              </w:rPr>
            </w:pPr>
            <w:proofErr w:type="gramStart"/>
            <w:r w:rsidRPr="00EB39FD">
              <w:rPr>
                <w:lang w:val="nl-NL"/>
              </w:rPr>
              <w:lastRenderedPageBreak/>
              <w:t>Reeds</w:t>
            </w:r>
            <w:proofErr w:type="gramEnd"/>
            <w:r w:rsidRPr="00EB39FD">
              <w:rPr>
                <w:lang w:val="nl-NL"/>
              </w:rPr>
              <w:t xml:space="preserve"> van kracht en gefaseerd in werking.</w:t>
            </w:r>
          </w:p>
          <w:p w14:paraId="35C02716" w14:textId="77777777" w:rsidR="00406C26" w:rsidRPr="00EB39FD" w:rsidRDefault="00406C26" w:rsidP="00406C26">
            <w:pPr>
              <w:cnfStyle w:val="000000100000" w:firstRow="0" w:lastRow="0" w:firstColumn="0" w:lastColumn="0" w:oddVBand="0" w:evenVBand="0" w:oddHBand="1" w:evenHBand="0" w:firstRowFirstColumn="0" w:firstRowLastColumn="0" w:lastRowFirstColumn="0" w:lastRowLastColumn="0"/>
              <w:rPr>
                <w:lang w:val="nl-NL"/>
              </w:rPr>
            </w:pPr>
          </w:p>
          <w:p w14:paraId="0304B0DE" w14:textId="2E4C2A87" w:rsidR="0061587E" w:rsidRPr="00EB39FD" w:rsidRDefault="00406C26" w:rsidP="00406C26">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De EU heeft op 26 februari 2025 een ‘Omnibus-</w:t>
            </w:r>
            <w:r w:rsidRPr="00EB39FD">
              <w:rPr>
                <w:lang w:val="nl-NL"/>
              </w:rPr>
              <w:lastRenderedPageBreak/>
              <w:t>vereenvoudigingspakket’ gepubliceerd met voorstellen voor vereenvoudiging van de duurzaamheidsrapportage verplichtingen, waarover op 9 december 2025 binnen de EU een politiek akkoord is bereikt</w:t>
            </w:r>
            <w:r w:rsidR="009F525F" w:rsidRPr="00EB39FD">
              <w:rPr>
                <w:lang w:val="nl-NL"/>
              </w:rPr>
              <w:t xml:space="preserve"> en dat op 18 maart 2026 in werking is getreden</w:t>
            </w:r>
            <w:r w:rsidRPr="00EB39FD">
              <w:rPr>
                <w:lang w:val="nl-NL"/>
              </w:rPr>
              <w:t xml:space="preserve">. Met deze </w:t>
            </w:r>
            <w:r w:rsidR="009F525F" w:rsidRPr="00EB39FD">
              <w:rPr>
                <w:lang w:val="nl-NL"/>
              </w:rPr>
              <w:t>wijzigingen</w:t>
            </w:r>
            <w:r w:rsidRPr="00EB39FD">
              <w:rPr>
                <w:lang w:val="nl-NL"/>
              </w:rPr>
              <w:t xml:space="preserve"> wordt de reikwijdte ingeperkt, nu de </w:t>
            </w:r>
            <w:r w:rsidR="00F81A55" w:rsidRPr="00EB39FD">
              <w:rPr>
                <w:lang w:val="nl-NL"/>
              </w:rPr>
              <w:t>wijzigingen</w:t>
            </w:r>
            <w:r w:rsidRPr="00EB39FD">
              <w:rPr>
                <w:lang w:val="nl-NL"/>
              </w:rPr>
              <w:t xml:space="preserve"> met name voor grote bedrijven gelden. Ook behelzen de </w:t>
            </w:r>
            <w:r w:rsidR="00F81A55" w:rsidRPr="00EB39FD">
              <w:rPr>
                <w:lang w:val="nl-NL"/>
              </w:rPr>
              <w:t>wijzigingen</w:t>
            </w:r>
            <w:r w:rsidRPr="00EB39FD">
              <w:rPr>
                <w:lang w:val="nl-NL"/>
              </w:rPr>
              <w:t xml:space="preserve"> minder harde eisen aan de rapportageverplichtingen, en zijn deze </w:t>
            </w:r>
            <w:r w:rsidR="00794847" w:rsidRPr="00EB39FD">
              <w:rPr>
                <w:lang w:val="nl-NL"/>
              </w:rPr>
              <w:t>rapportage</w:t>
            </w:r>
            <w:r w:rsidRPr="00EB39FD">
              <w:rPr>
                <w:lang w:val="nl-NL"/>
              </w:rPr>
              <w:t>verplichtingen met twee jaar uitgesteld.</w:t>
            </w:r>
          </w:p>
        </w:tc>
        <w:tc>
          <w:tcPr>
            <w:tcW w:w="3402" w:type="dxa"/>
          </w:tcPr>
          <w:p w14:paraId="6601F097" w14:textId="200ED25D" w:rsidR="0061587E" w:rsidRPr="00EB39FD" w:rsidRDefault="006E5B10" w:rsidP="00685EE0">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lastRenderedPageBreak/>
              <w:t xml:space="preserve">Verplicht ondernemingen om verdergaande duurzaamheidsrapportage te leveren, en resulteert in een hogere mate van </w:t>
            </w:r>
            <w:r w:rsidRPr="00EB39FD">
              <w:rPr>
                <w:lang w:val="nl-NL"/>
              </w:rPr>
              <w:lastRenderedPageBreak/>
              <w:t>externe controle op duurzaamheidsinformatie.</w:t>
            </w:r>
          </w:p>
        </w:tc>
      </w:tr>
      <w:tr w:rsidR="00E97687" w:rsidRPr="00EB39FD" w14:paraId="0958532F" w14:textId="77777777" w:rsidTr="007250D4">
        <w:tc>
          <w:tcPr>
            <w:cnfStyle w:val="001000000000" w:firstRow="0" w:lastRow="0" w:firstColumn="1" w:lastColumn="0" w:oddVBand="0" w:evenVBand="0" w:oddHBand="0" w:evenHBand="0" w:firstRowFirstColumn="0" w:firstRowLastColumn="0" w:lastRowFirstColumn="0" w:lastRowLastColumn="0"/>
            <w:tcW w:w="2798" w:type="dxa"/>
          </w:tcPr>
          <w:p w14:paraId="60859DA4" w14:textId="63C78956" w:rsidR="00E97687" w:rsidRPr="00EB39FD" w:rsidRDefault="00E97687" w:rsidP="00E97687">
            <w:pPr>
              <w:rPr>
                <w:lang w:val="nl-NL"/>
              </w:rPr>
            </w:pPr>
            <w:r w:rsidRPr="00EB39FD">
              <w:rPr>
                <w:lang w:val="nl-NL"/>
              </w:rPr>
              <w:lastRenderedPageBreak/>
              <w:t xml:space="preserve">EU-richtlijn wat betreft op afstand gesloten overeenkomsten </w:t>
            </w:r>
            <w:proofErr w:type="gramStart"/>
            <w:r w:rsidRPr="00EB39FD">
              <w:rPr>
                <w:lang w:val="nl-NL"/>
              </w:rPr>
              <w:t>inzake</w:t>
            </w:r>
            <w:proofErr w:type="gramEnd"/>
            <w:r w:rsidRPr="00EB39FD">
              <w:rPr>
                <w:lang w:val="nl-NL"/>
              </w:rPr>
              <w:t xml:space="preserve"> financiële diensten (2023/2673/EU)</w:t>
            </w:r>
          </w:p>
        </w:tc>
        <w:tc>
          <w:tcPr>
            <w:tcW w:w="2799" w:type="dxa"/>
          </w:tcPr>
          <w:p w14:paraId="00FD97EA" w14:textId="3D66BFD0" w:rsidR="00E97687" w:rsidRPr="00EB39FD" w:rsidRDefault="00CC0999"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implementatiewet is op 19 maart 2026 door de Tweede Kamer en op 7 april 2026 door de Eerste Kamer als hamerstuk aangenomen, en gepubliceerd in het Staatsblad (Stb. 2026, 153) op 24 juni 2026.</w:t>
            </w:r>
          </w:p>
        </w:tc>
        <w:tc>
          <w:tcPr>
            <w:tcW w:w="3192" w:type="dxa"/>
          </w:tcPr>
          <w:p w14:paraId="1BB99EBD" w14:textId="2757EDFF"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Het wetsvoorstel regelt dat enkele financiële producten die zijn uitgezonderd van de regels uit de Wet op het financieel toezicht (bijvoorbeeld kortlopende kredieten), wel onder de regels over verkoop op afstand vallen en onder de regels voor verkoop buiten de verkoopruimte. Verder bepaalt het wetsvoorstel dat een consument een overeenkomst op afstand eenvoudig moet kunnen ontbinden met behulp van een </w:t>
            </w:r>
            <w:proofErr w:type="gramStart"/>
            <w:r w:rsidRPr="00EB39FD">
              <w:rPr>
                <w:lang w:val="nl-NL"/>
              </w:rPr>
              <w:t>online ontbindingsfunctie</w:t>
            </w:r>
            <w:proofErr w:type="gramEnd"/>
            <w:r w:rsidRPr="00EB39FD">
              <w:rPr>
                <w:lang w:val="nl-NL"/>
              </w:rPr>
              <w:t>.</w:t>
            </w:r>
          </w:p>
        </w:tc>
        <w:tc>
          <w:tcPr>
            <w:tcW w:w="2977" w:type="dxa"/>
          </w:tcPr>
          <w:p w14:paraId="3B0B6B04" w14:textId="73943137" w:rsidR="00E97687" w:rsidRPr="00EB39FD" w:rsidRDefault="00803D9F"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De artikelen zijn met ingang van 19 juni 2026 van toepassing.</w:t>
            </w:r>
          </w:p>
        </w:tc>
        <w:tc>
          <w:tcPr>
            <w:tcW w:w="3402" w:type="dxa"/>
          </w:tcPr>
          <w:p w14:paraId="777D37D8" w14:textId="77777777"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De richtlijn voorziet in een vangnetfunctie. Deze vangnetfunctie houdt in dat de </w:t>
            </w:r>
          </w:p>
          <w:p w14:paraId="19D4619E" w14:textId="77777777"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proofErr w:type="gramStart"/>
            <w:r w:rsidRPr="00EB39FD">
              <w:rPr>
                <w:lang w:val="nl-NL"/>
              </w:rPr>
              <w:t>regels</w:t>
            </w:r>
            <w:proofErr w:type="gramEnd"/>
            <w:r w:rsidRPr="00EB39FD">
              <w:rPr>
                <w:lang w:val="nl-NL"/>
              </w:rPr>
              <w:t xml:space="preserve"> uit de richtlijn van toepassing zijn op producten of diensten die niet </w:t>
            </w:r>
          </w:p>
          <w:p w14:paraId="03B19F87" w14:textId="77777777"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proofErr w:type="gramStart"/>
            <w:r w:rsidRPr="00EB39FD">
              <w:rPr>
                <w:lang w:val="nl-NL"/>
              </w:rPr>
              <w:t>onder</w:t>
            </w:r>
            <w:proofErr w:type="gramEnd"/>
            <w:r w:rsidRPr="00EB39FD">
              <w:rPr>
                <w:lang w:val="nl-NL"/>
              </w:rPr>
              <w:t xml:space="preserve"> sectorspecifieke Uniewetgeving vallen of zijn uitgesloten van specifieke </w:t>
            </w:r>
          </w:p>
          <w:p w14:paraId="401539D4" w14:textId="5041A933"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Uniewetgeving voor financiële diensten.</w:t>
            </w:r>
          </w:p>
        </w:tc>
      </w:tr>
      <w:tr w:rsidR="00E97687" w:rsidRPr="00EB39FD" w14:paraId="79EB5FEE"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52A842A5" w14:textId="36878FAD" w:rsidR="00E97687" w:rsidRPr="00EB39FD" w:rsidRDefault="00E97687" w:rsidP="00E97687">
            <w:pPr>
              <w:rPr>
                <w:lang w:val="nl-NL"/>
              </w:rPr>
            </w:pPr>
            <w:r w:rsidRPr="00EB39FD">
              <w:rPr>
                <w:lang w:val="nl-NL"/>
              </w:rPr>
              <w:lastRenderedPageBreak/>
              <w:t>Voorontwerp Wet modernisering pandrecht en cessie</w:t>
            </w:r>
          </w:p>
        </w:tc>
        <w:tc>
          <w:tcPr>
            <w:tcW w:w="2799" w:type="dxa"/>
          </w:tcPr>
          <w:p w14:paraId="1C11A383" w14:textId="472B5179"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Het voorontwerp bevindt zich nog in de consultatiefase. De consultatie is gestart op 15 december 2025 en gesloten op 15 februari 2026.</w:t>
            </w:r>
            <w:r w:rsidR="00B47602" w:rsidRPr="00EB39FD">
              <w:rPr>
                <w:lang w:val="nl-NL"/>
              </w:rPr>
              <w:t xml:space="preserve"> </w:t>
            </w:r>
            <w:r w:rsidR="001C77CC" w:rsidRPr="00EB39FD">
              <w:rPr>
                <w:lang w:val="nl-NL"/>
              </w:rPr>
              <w:t>Verdere vervolgstappen zijn nog niet bekendgemaakt.</w:t>
            </w:r>
          </w:p>
        </w:tc>
        <w:tc>
          <w:tcPr>
            <w:tcW w:w="3192" w:type="dxa"/>
          </w:tcPr>
          <w:p w14:paraId="6BBA9DD2" w14:textId="0D00B125"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Dit voorontwerp voert wijzigingen door in Boek 3 van het Burgerlijk Wetboek om te zorgen voor een moderne invulling van het registratievereiste van onderhandse akten en een verruiming van de mogelijkheid om (toekomstige) vorderingen te verpanden en over te dragen.</w:t>
            </w:r>
          </w:p>
        </w:tc>
        <w:tc>
          <w:tcPr>
            <w:tcW w:w="2977" w:type="dxa"/>
          </w:tcPr>
          <w:p w14:paraId="71457B32" w14:textId="4155F3AE"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Nog onbekend.</w:t>
            </w:r>
          </w:p>
        </w:tc>
        <w:tc>
          <w:tcPr>
            <w:tcW w:w="3402" w:type="dxa"/>
          </w:tcPr>
          <w:p w14:paraId="11941B63" w14:textId="413EC78C"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De wetswijzigingen zorgen er voor dat registratie van onderhandse akten tegen minder administratieve lasten kan plaatsvinden en daarmee eenvoudiger en duurzamer, en dat alle (toekomstige) vorderingen kunnen worden verpand of overgedragen. Dit kan het vestigen van pandrechten en overdragen van vorderingen stimuleren, wat tot een betere toegang tot krediet kan leiden.</w:t>
            </w:r>
          </w:p>
        </w:tc>
      </w:tr>
      <w:tr w:rsidR="00E97687" w:rsidRPr="00EB39FD" w14:paraId="78946CD8" w14:textId="77777777" w:rsidTr="007250D4">
        <w:tc>
          <w:tcPr>
            <w:cnfStyle w:val="001000000000" w:firstRow="0" w:lastRow="0" w:firstColumn="1" w:lastColumn="0" w:oddVBand="0" w:evenVBand="0" w:oddHBand="0" w:evenHBand="0" w:firstRowFirstColumn="0" w:firstRowLastColumn="0" w:lastRowFirstColumn="0" w:lastRowLastColumn="0"/>
            <w:tcW w:w="2798" w:type="dxa"/>
          </w:tcPr>
          <w:p w14:paraId="488C883B" w14:textId="0540B526" w:rsidR="00E97687" w:rsidRPr="00EB39FD" w:rsidRDefault="00E97687" w:rsidP="00E97687">
            <w:pPr>
              <w:rPr>
                <w:lang w:val="nl-NL"/>
              </w:rPr>
            </w:pPr>
            <w:r w:rsidRPr="00EB39FD">
              <w:rPr>
                <w:lang w:val="nl-NL"/>
              </w:rPr>
              <w:t>Wet opheffing verpandingsverboden</w:t>
            </w:r>
          </w:p>
        </w:tc>
        <w:tc>
          <w:tcPr>
            <w:tcW w:w="2799" w:type="dxa"/>
          </w:tcPr>
          <w:p w14:paraId="52532749" w14:textId="261981AE"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Inwerking getreden per 1 juli 2025.</w:t>
            </w:r>
          </w:p>
        </w:tc>
        <w:tc>
          <w:tcPr>
            <w:tcW w:w="3192" w:type="dxa"/>
          </w:tcPr>
          <w:p w14:paraId="5B16EBEB" w14:textId="547CA68F"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Het wetsvoorstel regelt dat onder bepaalde omstandigheden een verpandings- of overdrachtsverbod voortaan niet meer mag worden overeengekomen.</w:t>
            </w:r>
          </w:p>
        </w:tc>
        <w:tc>
          <w:tcPr>
            <w:tcW w:w="2977" w:type="dxa"/>
          </w:tcPr>
          <w:p w14:paraId="3C46EF15" w14:textId="77777777"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 xml:space="preserve">1 juli 2025 </w:t>
            </w:r>
          </w:p>
          <w:p w14:paraId="084ECC41" w14:textId="77777777"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p>
          <w:p w14:paraId="19656C64" w14:textId="51FE8200"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Overdrachts- of verpandingsverboden overeengekomen vóór 1 juli 2025 zijn per 1 oktober 2025 nietig.</w:t>
            </w:r>
          </w:p>
        </w:tc>
        <w:tc>
          <w:tcPr>
            <w:tcW w:w="3402" w:type="dxa"/>
          </w:tcPr>
          <w:p w14:paraId="62FBFFE2" w14:textId="0C58922E" w:rsidR="00E97687" w:rsidRPr="00EB39FD" w:rsidRDefault="00E97687" w:rsidP="00E97687">
            <w:pPr>
              <w:cnfStyle w:val="000000000000" w:firstRow="0" w:lastRow="0" w:firstColumn="0" w:lastColumn="0" w:oddVBand="0" w:evenVBand="0" w:oddHBand="0" w:evenHBand="0" w:firstRowFirstColumn="0" w:firstRowLastColumn="0" w:lastRowFirstColumn="0" w:lastRowLastColumn="0"/>
              <w:rPr>
                <w:lang w:val="nl-NL"/>
              </w:rPr>
            </w:pPr>
            <w:r w:rsidRPr="00EB39FD">
              <w:rPr>
                <w:lang w:val="nl-NL"/>
              </w:rPr>
              <w:t>Vergroting potentiële kredietruimte voor bedrijven doordat meer vorderingen ingezet kunnen worden voor verpanding ter dekking van kredietverlening.</w:t>
            </w:r>
          </w:p>
        </w:tc>
      </w:tr>
      <w:tr w:rsidR="00E97687" w:rsidRPr="00EB39FD" w14:paraId="2C514537"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5E8DB46B" w14:textId="421C28D9" w:rsidR="00E97687" w:rsidRPr="00EB39FD" w:rsidRDefault="00E97687" w:rsidP="00E97687">
            <w:pPr>
              <w:rPr>
                <w:lang w:val="nl-NL"/>
              </w:rPr>
            </w:pPr>
            <w:r w:rsidRPr="00EB39FD">
              <w:rPr>
                <w:lang w:val="nl-NL"/>
              </w:rPr>
              <w:t>Wet overgang van onderneming in faillissement (</w:t>
            </w:r>
            <w:proofErr w:type="spellStart"/>
            <w:r w:rsidRPr="00EB39FD">
              <w:rPr>
                <w:lang w:val="nl-NL"/>
              </w:rPr>
              <w:t>Wovof</w:t>
            </w:r>
            <w:proofErr w:type="spellEnd"/>
            <w:r w:rsidRPr="00EB39FD">
              <w:rPr>
                <w:lang w:val="nl-NL"/>
              </w:rPr>
              <w:t>)</w:t>
            </w:r>
          </w:p>
        </w:tc>
        <w:tc>
          <w:tcPr>
            <w:tcW w:w="2799" w:type="dxa"/>
          </w:tcPr>
          <w:p w14:paraId="7D4F6700" w14:textId="5D722BD7"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Consultatie gesloten per 1 september 2024. De Raad van State heeft op 1</w:t>
            </w:r>
            <w:r w:rsidR="00D73ABD" w:rsidRPr="00EB39FD">
              <w:rPr>
                <w:lang w:val="nl-NL"/>
              </w:rPr>
              <w:t>0</w:t>
            </w:r>
            <w:r w:rsidRPr="00EB39FD">
              <w:rPr>
                <w:lang w:val="nl-NL"/>
              </w:rPr>
              <w:t xml:space="preserve"> december 2025 haar advies </w:t>
            </w:r>
            <w:r w:rsidR="00A219B5" w:rsidRPr="00EB39FD">
              <w:rPr>
                <w:lang w:val="nl-NL"/>
              </w:rPr>
              <w:t>uitgebracht. Het wetsvoorstel is nog niet ingediend bij de Tweede Kamer.</w:t>
            </w:r>
          </w:p>
        </w:tc>
        <w:tc>
          <w:tcPr>
            <w:tcW w:w="3192" w:type="dxa"/>
          </w:tcPr>
          <w:p w14:paraId="6A2F6E0C" w14:textId="12453BDB"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Aanpassing positie werknemers in faillissement, met name in geval van een overgang van een onderneming (doorstart) in faillissement.</w:t>
            </w:r>
          </w:p>
        </w:tc>
        <w:tc>
          <w:tcPr>
            <w:tcW w:w="2977" w:type="dxa"/>
          </w:tcPr>
          <w:p w14:paraId="389DB6B9" w14:textId="1DEB137A"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 xml:space="preserve">Onbekend – </w:t>
            </w:r>
            <w:r w:rsidR="00D00AD1" w:rsidRPr="00EB39FD">
              <w:rPr>
                <w:lang w:val="nl-NL"/>
              </w:rPr>
              <w:t>inwerkingtreding bij KB. Niet eerder dan 2027.</w:t>
            </w:r>
          </w:p>
        </w:tc>
        <w:tc>
          <w:tcPr>
            <w:tcW w:w="3402" w:type="dxa"/>
          </w:tcPr>
          <w:p w14:paraId="1577B46C" w14:textId="47E09D4E" w:rsidR="00E97687" w:rsidRPr="00EB39FD" w:rsidRDefault="00E97687" w:rsidP="00E97687">
            <w:pPr>
              <w:cnfStyle w:val="000000100000" w:firstRow="0" w:lastRow="0" w:firstColumn="0" w:lastColumn="0" w:oddVBand="0" w:evenVBand="0" w:oddHBand="1" w:evenHBand="0" w:firstRowFirstColumn="0" w:firstRowLastColumn="0" w:lastRowFirstColumn="0" w:lastRowLastColumn="0"/>
              <w:rPr>
                <w:lang w:val="nl-NL"/>
              </w:rPr>
            </w:pPr>
            <w:r w:rsidRPr="00EB39FD">
              <w:rPr>
                <w:lang w:val="nl-NL"/>
              </w:rPr>
              <w:t>Verandert de positie van werknemers in het geval van (een overgang van onderneming in) faillissement.</w:t>
            </w:r>
          </w:p>
        </w:tc>
      </w:tr>
    </w:tbl>
    <w:p w14:paraId="77E31CFD" w14:textId="77777777" w:rsidR="00537D00" w:rsidRPr="0019700F" w:rsidRDefault="00537D00" w:rsidP="00685EE0">
      <w:pPr>
        <w:rPr>
          <w:lang w:val="nl-NL"/>
        </w:rPr>
      </w:pPr>
    </w:p>
    <w:p w14:paraId="14EBDCEC" w14:textId="77777777" w:rsidR="00A05129" w:rsidRPr="0019700F" w:rsidRDefault="00A05129">
      <w:pPr>
        <w:spacing w:after="160" w:line="278" w:lineRule="auto"/>
        <w:rPr>
          <w:b/>
          <w:bCs/>
          <w:i/>
          <w:iCs/>
          <w:lang w:val="nl-NL"/>
        </w:rPr>
      </w:pPr>
      <w:r w:rsidRPr="0019700F">
        <w:rPr>
          <w:b/>
          <w:bCs/>
          <w:i/>
          <w:iCs/>
          <w:lang w:val="nl-NL"/>
        </w:rPr>
        <w:br w:type="page"/>
      </w:r>
    </w:p>
    <w:p w14:paraId="1FF0ED0D" w14:textId="0128CA77" w:rsidR="0061587E" w:rsidRPr="0019700F" w:rsidRDefault="0061587E" w:rsidP="00685EE0">
      <w:pPr>
        <w:jc w:val="center"/>
        <w:rPr>
          <w:b/>
          <w:bCs/>
          <w:i/>
          <w:iCs/>
        </w:rPr>
      </w:pPr>
      <w:r w:rsidRPr="0019700F">
        <w:rPr>
          <w:b/>
          <w:bCs/>
          <w:i/>
          <w:iCs/>
        </w:rPr>
        <w:lastRenderedPageBreak/>
        <w:t>Fiscaal</w:t>
      </w:r>
    </w:p>
    <w:p w14:paraId="3ECC056F" w14:textId="77777777" w:rsidR="0061587E" w:rsidRPr="0019700F" w:rsidRDefault="0061587E" w:rsidP="00685EE0"/>
    <w:tbl>
      <w:tblPr>
        <w:tblStyle w:val="Onopgemaaktetabel1"/>
        <w:tblW w:w="15168" w:type="dxa"/>
        <w:tblInd w:w="-572" w:type="dxa"/>
        <w:tblLook w:val="04A0" w:firstRow="1" w:lastRow="0" w:firstColumn="1" w:lastColumn="0" w:noHBand="0" w:noVBand="1"/>
      </w:tblPr>
      <w:tblGrid>
        <w:gridCol w:w="2698"/>
        <w:gridCol w:w="2771"/>
        <w:gridCol w:w="3540"/>
        <w:gridCol w:w="2857"/>
        <w:gridCol w:w="3302"/>
      </w:tblGrid>
      <w:tr w:rsidR="0061587E" w:rsidRPr="0019700F" w14:paraId="7455B382" w14:textId="77777777" w:rsidTr="007250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bottom w:val="single" w:sz="4" w:space="0" w:color="auto"/>
            </w:tcBorders>
          </w:tcPr>
          <w:p w14:paraId="1ED90C6E" w14:textId="77777777" w:rsidR="0061587E" w:rsidRPr="0019700F" w:rsidRDefault="0061587E" w:rsidP="00685EE0">
            <w:proofErr w:type="spellStart"/>
            <w:r w:rsidRPr="0019700F">
              <w:t>Wetgeving</w:t>
            </w:r>
            <w:proofErr w:type="spellEnd"/>
          </w:p>
        </w:tc>
        <w:tc>
          <w:tcPr>
            <w:tcW w:w="2799" w:type="dxa"/>
            <w:tcBorders>
              <w:bottom w:val="single" w:sz="4" w:space="0" w:color="auto"/>
            </w:tcBorders>
          </w:tcPr>
          <w:p w14:paraId="07BE933C" w14:textId="77777777" w:rsidR="0061587E" w:rsidRPr="0019700F" w:rsidRDefault="0061587E" w:rsidP="00685EE0">
            <w:pPr>
              <w:cnfStyle w:val="100000000000" w:firstRow="1" w:lastRow="0" w:firstColumn="0" w:lastColumn="0" w:oddVBand="0" w:evenVBand="0" w:oddHBand="0" w:evenHBand="0" w:firstRowFirstColumn="0" w:firstRowLastColumn="0" w:lastRowFirstColumn="0" w:lastRowLastColumn="0"/>
            </w:pPr>
            <w:r w:rsidRPr="0019700F">
              <w:t>Status</w:t>
            </w:r>
          </w:p>
        </w:tc>
        <w:tc>
          <w:tcPr>
            <w:tcW w:w="3192" w:type="dxa"/>
            <w:tcBorders>
              <w:bottom w:val="single" w:sz="4" w:space="0" w:color="auto"/>
            </w:tcBorders>
          </w:tcPr>
          <w:p w14:paraId="35230BE9" w14:textId="77777777" w:rsidR="0061587E" w:rsidRPr="0019700F"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19700F">
              <w:t>Inhoud</w:t>
            </w:r>
            <w:proofErr w:type="spellEnd"/>
          </w:p>
        </w:tc>
        <w:tc>
          <w:tcPr>
            <w:tcW w:w="2977" w:type="dxa"/>
            <w:tcBorders>
              <w:bottom w:val="single" w:sz="4" w:space="0" w:color="auto"/>
            </w:tcBorders>
          </w:tcPr>
          <w:p w14:paraId="1C8CBC71" w14:textId="77777777" w:rsidR="0061587E" w:rsidRPr="0019700F"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19700F">
              <w:t>Verwachte</w:t>
            </w:r>
            <w:proofErr w:type="spellEnd"/>
            <w:r w:rsidRPr="0019700F">
              <w:t xml:space="preserve"> </w:t>
            </w:r>
            <w:proofErr w:type="spellStart"/>
            <w:r w:rsidRPr="0019700F">
              <w:t>inwerkingtreding</w:t>
            </w:r>
            <w:proofErr w:type="spellEnd"/>
          </w:p>
        </w:tc>
        <w:tc>
          <w:tcPr>
            <w:tcW w:w="3402" w:type="dxa"/>
            <w:tcBorders>
              <w:bottom w:val="single" w:sz="4" w:space="0" w:color="auto"/>
            </w:tcBorders>
          </w:tcPr>
          <w:p w14:paraId="5E2609E0" w14:textId="77777777" w:rsidR="0061587E" w:rsidRPr="0019700F" w:rsidRDefault="0061587E" w:rsidP="00685EE0">
            <w:pPr>
              <w:cnfStyle w:val="100000000000" w:firstRow="1" w:lastRow="0" w:firstColumn="0" w:lastColumn="0" w:oddVBand="0" w:evenVBand="0" w:oddHBand="0" w:evenHBand="0" w:firstRowFirstColumn="0" w:firstRowLastColumn="0" w:lastRowFirstColumn="0" w:lastRowLastColumn="0"/>
            </w:pPr>
            <w:proofErr w:type="spellStart"/>
            <w:r w:rsidRPr="0019700F">
              <w:t>Belang</w:t>
            </w:r>
            <w:proofErr w:type="spellEnd"/>
            <w:r w:rsidRPr="0019700F">
              <w:t xml:space="preserve"> </w:t>
            </w:r>
            <w:proofErr w:type="spellStart"/>
            <w:r w:rsidRPr="0019700F">
              <w:t>voor</w:t>
            </w:r>
            <w:proofErr w:type="spellEnd"/>
            <w:r w:rsidRPr="0019700F">
              <w:t xml:space="preserve"> de </w:t>
            </w:r>
            <w:proofErr w:type="spellStart"/>
            <w:r w:rsidRPr="0019700F">
              <w:t>praktijk</w:t>
            </w:r>
            <w:proofErr w:type="spellEnd"/>
          </w:p>
        </w:tc>
      </w:tr>
      <w:tr w:rsidR="008E502C" w:rsidRPr="00EB39FD" w14:paraId="4037520F" w14:textId="77777777" w:rsidTr="00725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bottom w:val="single" w:sz="4" w:space="0" w:color="auto"/>
            </w:tcBorders>
          </w:tcPr>
          <w:p w14:paraId="48CD2017" w14:textId="7932341E" w:rsidR="008E502C" w:rsidRPr="0019700F" w:rsidRDefault="008E502C" w:rsidP="008E502C">
            <w:pPr>
              <w:rPr>
                <w:lang w:val="nl-NL"/>
              </w:rPr>
            </w:pPr>
            <w:r w:rsidRPr="0019700F">
              <w:rPr>
                <w:lang w:val="nl-NL"/>
              </w:rPr>
              <w:t>Tijdelijk overgangsrecht fonds voor gemene rekening</w:t>
            </w:r>
          </w:p>
        </w:tc>
        <w:tc>
          <w:tcPr>
            <w:tcW w:w="2799" w:type="dxa"/>
            <w:tcBorders>
              <w:bottom w:val="single" w:sz="4" w:space="0" w:color="auto"/>
            </w:tcBorders>
          </w:tcPr>
          <w:p w14:paraId="291B69BA" w14:textId="06F29C72" w:rsidR="00AA2865" w:rsidRPr="008B160B" w:rsidRDefault="00F201A8" w:rsidP="008E502C">
            <w:pPr>
              <w:cnfStyle w:val="000000100000" w:firstRow="0" w:lastRow="0" w:firstColumn="0" w:lastColumn="0" w:oddVBand="0" w:evenVBand="0" w:oddHBand="1" w:evenHBand="0" w:firstRowFirstColumn="0" w:firstRowLastColumn="0" w:lastRowFirstColumn="0" w:lastRowLastColumn="0"/>
              <w:rPr>
                <w:lang w:val="nl-NL"/>
              </w:rPr>
            </w:pPr>
            <w:r w:rsidRPr="008B160B">
              <w:rPr>
                <w:lang w:val="nl-NL"/>
              </w:rPr>
              <w:t>Overgangsrecht aangenomen door beide Kamers, als onderdeel van het</w:t>
            </w:r>
            <w:r w:rsidR="00206CE2" w:rsidRPr="008B160B">
              <w:rPr>
                <w:lang w:val="nl-NL"/>
              </w:rPr>
              <w:t xml:space="preserve"> </w:t>
            </w:r>
            <w:r w:rsidRPr="008B160B">
              <w:rPr>
                <w:lang w:val="nl-NL"/>
              </w:rPr>
              <w:t xml:space="preserve">Belastingplan 2026. </w:t>
            </w:r>
          </w:p>
          <w:p w14:paraId="0054FA49" w14:textId="38D39C2E" w:rsidR="008E502C" w:rsidRPr="0019700F" w:rsidRDefault="00F201A8" w:rsidP="008E502C">
            <w:pPr>
              <w:cnfStyle w:val="000000100000" w:firstRow="0" w:lastRow="0" w:firstColumn="0" w:lastColumn="0" w:oddVBand="0" w:evenVBand="0" w:oddHBand="1" w:evenHBand="0" w:firstRowFirstColumn="0" w:firstRowLastColumn="0" w:lastRowFirstColumn="0" w:lastRowLastColumn="0"/>
              <w:rPr>
                <w:lang w:val="nl-NL"/>
              </w:rPr>
            </w:pPr>
            <w:r w:rsidRPr="008B160B">
              <w:rPr>
                <w:lang w:val="nl-NL"/>
              </w:rPr>
              <w:t>Instemmingstermijn participanten: uiterlijk 28 februari 2026</w:t>
            </w:r>
            <w:r w:rsidRPr="00F201A8">
              <w:rPr>
                <w:color w:val="FF0000"/>
                <w:lang w:val="nl-NL"/>
              </w:rPr>
              <w:t>.</w:t>
            </w:r>
          </w:p>
        </w:tc>
        <w:tc>
          <w:tcPr>
            <w:tcW w:w="3192" w:type="dxa"/>
            <w:tcBorders>
              <w:bottom w:val="single" w:sz="4" w:space="0" w:color="auto"/>
            </w:tcBorders>
          </w:tcPr>
          <w:p w14:paraId="4A2D33F2" w14:textId="46BC2B7C" w:rsidR="008E502C" w:rsidRPr="0019700F" w:rsidRDefault="006E362D" w:rsidP="008E502C">
            <w:pPr>
              <w:cnfStyle w:val="000000100000" w:firstRow="0" w:lastRow="0" w:firstColumn="0" w:lastColumn="0" w:oddVBand="0" w:evenVBand="0" w:oddHBand="1" w:evenHBand="0" w:firstRowFirstColumn="0" w:firstRowLastColumn="0" w:lastRowFirstColumn="0" w:lastRowLastColumn="0"/>
              <w:rPr>
                <w:lang w:val="nl-NL"/>
              </w:rPr>
            </w:pPr>
            <w:r w:rsidRPr="006E362D">
              <w:rPr>
                <w:lang w:val="nl-NL"/>
              </w:rPr>
              <w:t>Het tijdelijk overgangsrecht voor het fonds voor gemene rekening (</w:t>
            </w:r>
            <w:proofErr w:type="spellStart"/>
            <w:r w:rsidRPr="006E362D">
              <w:rPr>
                <w:lang w:val="nl-NL"/>
              </w:rPr>
              <w:t>fgr</w:t>
            </w:r>
            <w:proofErr w:type="spellEnd"/>
            <w:r w:rsidRPr="006E362D">
              <w:rPr>
                <w:lang w:val="nl-NL"/>
              </w:rPr>
              <w:t xml:space="preserve">) voorkomt dat bepaalde fiscaal transparante lichamen per 1 januari 2025 ongewild en tijdelijk zelfstandig belastingplichtig (voor de vennootschapsbelasting) worden door de gewijzigde </w:t>
            </w:r>
            <w:proofErr w:type="spellStart"/>
            <w:r w:rsidRPr="006E362D">
              <w:rPr>
                <w:lang w:val="nl-NL"/>
              </w:rPr>
              <w:t>fgr</w:t>
            </w:r>
            <w:proofErr w:type="spellEnd"/>
            <w:r w:rsidRPr="006E362D">
              <w:rPr>
                <w:lang w:val="nl-NL"/>
              </w:rPr>
              <w:t xml:space="preserve">-definitie. Lichamen kunnen kiezen om met ingang van 1 januari 2025 tijdelijk niet als </w:t>
            </w:r>
            <w:proofErr w:type="spellStart"/>
            <w:r w:rsidRPr="006E362D">
              <w:rPr>
                <w:lang w:val="nl-NL"/>
              </w:rPr>
              <w:t>fgr</w:t>
            </w:r>
            <w:proofErr w:type="spellEnd"/>
            <w:r w:rsidRPr="006E362D">
              <w:rPr>
                <w:lang w:val="nl-NL"/>
              </w:rPr>
              <w:t xml:space="preserve"> te worden aangemerkt, mits de participanten uiterlijk op 28 februari 2026 met die keuze instemmen.</w:t>
            </w:r>
          </w:p>
          <w:p w14:paraId="57127386" w14:textId="3FC7FFD3" w:rsidR="008E502C"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p>
        </w:tc>
        <w:tc>
          <w:tcPr>
            <w:tcW w:w="2977" w:type="dxa"/>
            <w:tcBorders>
              <w:bottom w:val="single" w:sz="4" w:space="0" w:color="auto"/>
            </w:tcBorders>
          </w:tcPr>
          <w:p w14:paraId="79E6AD93" w14:textId="36CD4FC1" w:rsidR="008E502C" w:rsidRPr="00EC42C4" w:rsidRDefault="00EC42C4" w:rsidP="008E502C">
            <w:pPr>
              <w:cnfStyle w:val="000000100000" w:firstRow="0" w:lastRow="0" w:firstColumn="0" w:lastColumn="0" w:oddVBand="0" w:evenVBand="0" w:oddHBand="1" w:evenHBand="0" w:firstRowFirstColumn="0" w:firstRowLastColumn="0" w:lastRowFirstColumn="0" w:lastRowLastColumn="0"/>
              <w:rPr>
                <w:color w:val="FF0000"/>
                <w:lang w:val="nl-NL"/>
              </w:rPr>
            </w:pPr>
            <w:r w:rsidRPr="008B160B">
              <w:rPr>
                <w:lang w:val="nl-NL"/>
              </w:rPr>
              <w:t>Het overgangsrecht is van kracht met terugwerkende kracht tot 1 januari 2025, en vervalt</w:t>
            </w:r>
            <w:r w:rsidR="00AA2865" w:rsidRPr="008B160B">
              <w:rPr>
                <w:lang w:val="nl-NL"/>
              </w:rPr>
              <w:t xml:space="preserve"> uiterlijk op</w:t>
            </w:r>
            <w:r w:rsidRPr="008B160B">
              <w:rPr>
                <w:lang w:val="nl-NL"/>
              </w:rPr>
              <w:t xml:space="preserve"> 1 januari 2028.</w:t>
            </w:r>
          </w:p>
        </w:tc>
        <w:tc>
          <w:tcPr>
            <w:tcW w:w="3402" w:type="dxa"/>
            <w:tcBorders>
              <w:bottom w:val="single" w:sz="4" w:space="0" w:color="auto"/>
            </w:tcBorders>
          </w:tcPr>
          <w:p w14:paraId="2BBDBFE1" w14:textId="77777777" w:rsidR="006E362D"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Op Prinsjesdag 2025 is er voor het fonds voor gemene rekening (</w:t>
            </w:r>
            <w:proofErr w:type="spellStart"/>
            <w:r w:rsidRPr="0019700F">
              <w:rPr>
                <w:lang w:val="nl-NL"/>
              </w:rPr>
              <w:t>fgr</w:t>
            </w:r>
            <w:proofErr w:type="spellEnd"/>
            <w:r w:rsidRPr="0019700F">
              <w:rPr>
                <w:lang w:val="nl-NL"/>
              </w:rPr>
              <w:t xml:space="preserve">) een tijdelijk overgangsrecht voorgesteld om kortstondige belastingplicht te voorkomen voor fondsen die aan bepaalde voorwaarden voldoen. Fondsen die voldoen aan de voorwaarden kunnen ervoor kiezen om met ingang van 1 januari 2025 tijdelijk niet als </w:t>
            </w:r>
            <w:proofErr w:type="spellStart"/>
            <w:r w:rsidRPr="0019700F">
              <w:rPr>
                <w:lang w:val="nl-NL"/>
              </w:rPr>
              <w:t>fgr</w:t>
            </w:r>
            <w:proofErr w:type="spellEnd"/>
            <w:r w:rsidRPr="0019700F">
              <w:rPr>
                <w:lang w:val="nl-NL"/>
              </w:rPr>
              <w:t xml:space="preserve"> te worden aangemerkt. De voorwaarden zijn: (1) het fonds zou zonder deze maatregel per 1 januari 2025 zelfstandig belastingplichtig zijn geweest, (2) het fonds bestond </w:t>
            </w:r>
            <w:proofErr w:type="gramStart"/>
            <w:r w:rsidRPr="0019700F">
              <w:rPr>
                <w:lang w:val="nl-NL"/>
              </w:rPr>
              <w:t>reeds</w:t>
            </w:r>
            <w:proofErr w:type="gramEnd"/>
            <w:r w:rsidRPr="0019700F">
              <w:rPr>
                <w:lang w:val="nl-NL"/>
              </w:rPr>
              <w:t xml:space="preserve"> op 31 december 2024 en was toen fiscaal transparant, en (3) onder omstandigheden moet er instemming van participanten zijn voor 28 februari 2026. </w:t>
            </w:r>
          </w:p>
          <w:p w14:paraId="4F9DD0F6" w14:textId="77777777" w:rsidR="006E362D" w:rsidRDefault="006E362D" w:rsidP="008E502C">
            <w:pPr>
              <w:cnfStyle w:val="000000100000" w:firstRow="0" w:lastRow="0" w:firstColumn="0" w:lastColumn="0" w:oddVBand="0" w:evenVBand="0" w:oddHBand="1" w:evenHBand="0" w:firstRowFirstColumn="0" w:firstRowLastColumn="0" w:lastRowFirstColumn="0" w:lastRowLastColumn="0"/>
              <w:rPr>
                <w:lang w:val="nl-NL"/>
              </w:rPr>
            </w:pPr>
          </w:p>
          <w:p w14:paraId="219DDD16" w14:textId="615F68ED" w:rsidR="008E502C"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Het</w:t>
            </w:r>
            <w:r w:rsidR="006E362D">
              <w:rPr>
                <w:lang w:val="nl-NL"/>
              </w:rPr>
              <w:t xml:space="preserve"> overgangsrecht is tijdelijk omdat het</w:t>
            </w:r>
            <w:r w:rsidRPr="0019700F">
              <w:rPr>
                <w:lang w:val="nl-NL"/>
              </w:rPr>
              <w:t xml:space="preserve"> kabinet </w:t>
            </w:r>
            <w:r w:rsidR="006E362D">
              <w:rPr>
                <w:lang w:val="nl-NL"/>
              </w:rPr>
              <w:t>naar aanleiding van een</w:t>
            </w:r>
            <w:r w:rsidRPr="0019700F">
              <w:rPr>
                <w:lang w:val="nl-NL"/>
              </w:rPr>
              <w:t xml:space="preserve"> internetconsultatie onderzoek </w:t>
            </w:r>
            <w:proofErr w:type="spellStart"/>
            <w:r w:rsidRPr="0019700F">
              <w:rPr>
                <w:lang w:val="nl-NL"/>
              </w:rPr>
              <w:t>uit</w:t>
            </w:r>
            <w:r w:rsidR="006E362D">
              <w:rPr>
                <w:lang w:val="nl-NL"/>
              </w:rPr>
              <w:t>voet</w:t>
            </w:r>
            <w:proofErr w:type="spellEnd"/>
            <w:r w:rsidRPr="0019700F">
              <w:rPr>
                <w:lang w:val="nl-NL"/>
              </w:rPr>
              <w:t xml:space="preserve"> naar gesignaleerde knelpunten met de per 2025 geldende </w:t>
            </w:r>
            <w:proofErr w:type="spellStart"/>
            <w:r w:rsidRPr="0019700F">
              <w:rPr>
                <w:lang w:val="nl-NL"/>
              </w:rPr>
              <w:t>fgr</w:t>
            </w:r>
            <w:proofErr w:type="spellEnd"/>
            <w:r w:rsidRPr="0019700F">
              <w:rPr>
                <w:lang w:val="nl-NL"/>
              </w:rPr>
              <w:t xml:space="preserve">-definitie, wat mogelijk tot nieuwe aanpassingen per 1 januari 2027 kan leiden. Het </w:t>
            </w:r>
            <w:r w:rsidRPr="0019700F">
              <w:rPr>
                <w:lang w:val="nl-NL"/>
              </w:rPr>
              <w:lastRenderedPageBreak/>
              <w:t xml:space="preserve">voorgestelde overgangsrecht vervalt uiterlijk op 1 januari 2028, maar mogelijk eerder </w:t>
            </w:r>
            <w:proofErr w:type="gramStart"/>
            <w:r w:rsidRPr="0019700F">
              <w:rPr>
                <w:lang w:val="nl-NL"/>
              </w:rPr>
              <w:t>indien</w:t>
            </w:r>
            <w:proofErr w:type="gramEnd"/>
            <w:r w:rsidRPr="0019700F">
              <w:rPr>
                <w:lang w:val="nl-NL"/>
              </w:rPr>
              <w:t xml:space="preserve"> de </w:t>
            </w:r>
            <w:proofErr w:type="spellStart"/>
            <w:r w:rsidRPr="0019700F">
              <w:rPr>
                <w:lang w:val="nl-NL"/>
              </w:rPr>
              <w:t>fgr</w:t>
            </w:r>
            <w:proofErr w:type="spellEnd"/>
            <w:r w:rsidRPr="0019700F">
              <w:rPr>
                <w:lang w:val="nl-NL"/>
              </w:rPr>
              <w:t>-definitie per 2027 wijzigt.</w:t>
            </w:r>
          </w:p>
        </w:tc>
      </w:tr>
      <w:tr w:rsidR="008E502C" w:rsidRPr="00EB39FD" w14:paraId="4FD3D5D3" w14:textId="77777777" w:rsidTr="007250D4">
        <w:tc>
          <w:tcPr>
            <w:cnfStyle w:val="001000000000" w:firstRow="0" w:lastRow="0" w:firstColumn="1" w:lastColumn="0" w:oddVBand="0" w:evenVBand="0" w:oddHBand="0" w:evenHBand="0" w:firstRowFirstColumn="0" w:firstRowLastColumn="0" w:lastRowFirstColumn="0" w:lastRowLastColumn="0"/>
            <w:tcW w:w="2798" w:type="dxa"/>
            <w:tcBorders>
              <w:bottom w:val="single" w:sz="4" w:space="0" w:color="auto"/>
            </w:tcBorders>
          </w:tcPr>
          <w:p w14:paraId="30F76A9E" w14:textId="16E00649" w:rsidR="008E502C" w:rsidRPr="0019700F" w:rsidRDefault="006E362D" w:rsidP="008E502C">
            <w:pPr>
              <w:rPr>
                <w:lang w:val="nl-NL"/>
              </w:rPr>
            </w:pPr>
            <w:r>
              <w:rPr>
                <w:lang w:val="nl-NL"/>
              </w:rPr>
              <w:lastRenderedPageBreak/>
              <w:t xml:space="preserve">Consultatie </w:t>
            </w:r>
            <w:r w:rsidR="008E502C" w:rsidRPr="0019700F">
              <w:rPr>
                <w:lang w:val="nl-NL"/>
              </w:rPr>
              <w:t>aanpassing van FGR</w:t>
            </w:r>
          </w:p>
        </w:tc>
        <w:tc>
          <w:tcPr>
            <w:tcW w:w="2799" w:type="dxa"/>
            <w:tcBorders>
              <w:bottom w:val="single" w:sz="4" w:space="0" w:color="auto"/>
            </w:tcBorders>
          </w:tcPr>
          <w:p w14:paraId="1EC1FDB3" w14:textId="7DC0C28E" w:rsidR="008E502C" w:rsidRPr="0019700F" w:rsidRDefault="00AA2865" w:rsidP="008E502C">
            <w:pPr>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De consultatie is gestart op 15 december 2025 en gesloten op 2 februari 2026. </w:t>
            </w:r>
            <w:r w:rsidR="00B80D93">
              <w:rPr>
                <w:lang w:val="nl-NL"/>
              </w:rPr>
              <w:t>Inmiddels is een</w:t>
            </w:r>
            <w:r w:rsidR="00926ACB">
              <w:rPr>
                <w:lang w:val="nl-NL"/>
              </w:rPr>
              <w:t xml:space="preserve"> consultatieverslag gepubliceerd. </w:t>
            </w:r>
            <w:r w:rsidR="00926ACB" w:rsidRPr="00926ACB">
              <w:rPr>
                <w:lang w:val="nl-NL"/>
              </w:rPr>
              <w:t xml:space="preserve">Ten aanzien van knelpunt 1 (buitenlandse personenvennootschappen) worden momenteel de voor- en nadelen van een aanmeldregeling versus een (ruimere) afmeldregeling inclusief de uitvoeringsgevolgen onderzocht. Voor knelpunt 2 (verwijzing naar de </w:t>
            </w:r>
            <w:proofErr w:type="spellStart"/>
            <w:r w:rsidR="00926ACB" w:rsidRPr="00926ACB">
              <w:rPr>
                <w:lang w:val="nl-NL"/>
              </w:rPr>
              <w:t>Wft</w:t>
            </w:r>
            <w:proofErr w:type="spellEnd"/>
            <w:r w:rsidR="00926ACB" w:rsidRPr="00926ACB">
              <w:rPr>
                <w:lang w:val="nl-NL"/>
              </w:rPr>
              <w:t>) wordt overwogen een wetsvoorstel aan te bieden.</w:t>
            </w:r>
          </w:p>
        </w:tc>
        <w:tc>
          <w:tcPr>
            <w:tcW w:w="3192" w:type="dxa"/>
            <w:tcBorders>
              <w:bottom w:val="single" w:sz="4" w:space="0" w:color="auto"/>
            </w:tcBorders>
          </w:tcPr>
          <w:p w14:paraId="14602F03" w14:textId="1238B6EC" w:rsidR="008E502C" w:rsidRDefault="00B80D93" w:rsidP="008E502C">
            <w:pPr>
              <w:cnfStyle w:val="000000000000" w:firstRow="0" w:lastRow="0" w:firstColumn="0" w:lastColumn="0" w:oddVBand="0" w:evenVBand="0" w:oddHBand="0" w:evenHBand="0" w:firstRowFirstColumn="0" w:firstRowLastColumn="0" w:lastRowFirstColumn="0" w:lastRowLastColumn="0"/>
              <w:rPr>
                <w:lang w:val="nl-NL"/>
              </w:rPr>
            </w:pPr>
            <w:r>
              <w:rPr>
                <w:lang w:val="nl-NL"/>
              </w:rPr>
              <w:t>Het consultatiedocument introduceert de volgende twee aanpassingen.</w:t>
            </w:r>
          </w:p>
          <w:p w14:paraId="1526DA18" w14:textId="77777777" w:rsidR="00B80D93" w:rsidRDefault="00B80D93" w:rsidP="00B80D93">
            <w:pPr>
              <w:cnfStyle w:val="000000000000" w:firstRow="0" w:lastRow="0" w:firstColumn="0" w:lastColumn="0" w:oddVBand="0" w:evenVBand="0" w:oddHBand="0" w:evenHBand="0" w:firstRowFirstColumn="0" w:firstRowLastColumn="0" w:lastRowFirstColumn="0" w:lastRowLastColumn="0"/>
              <w:rPr>
                <w:b/>
                <w:bCs/>
                <w:lang w:val="nl-NL"/>
              </w:rPr>
            </w:pPr>
          </w:p>
          <w:p w14:paraId="4424D3D5" w14:textId="77777777" w:rsidR="00B80D93" w:rsidRDefault="00970EB6" w:rsidP="00B80D93">
            <w:pPr>
              <w:cnfStyle w:val="000000000000" w:firstRow="0" w:lastRow="0" w:firstColumn="0" w:lastColumn="0" w:oddVBand="0" w:evenVBand="0" w:oddHBand="0" w:evenHBand="0" w:firstRowFirstColumn="0" w:firstRowLastColumn="0" w:lastRowFirstColumn="0" w:lastRowLastColumn="0"/>
              <w:rPr>
                <w:lang w:val="nl-NL"/>
              </w:rPr>
            </w:pPr>
            <w:r w:rsidRPr="00970EB6">
              <w:rPr>
                <w:lang w:val="nl-NL"/>
              </w:rPr>
              <w:t>Introductie afmeldregeling</w:t>
            </w:r>
            <w:r>
              <w:rPr>
                <w:lang w:val="nl-NL"/>
              </w:rPr>
              <w:t xml:space="preserve"> (knelpunt 1)</w:t>
            </w:r>
            <w:r w:rsidRPr="00970EB6">
              <w:rPr>
                <w:lang w:val="nl-NL"/>
              </w:rPr>
              <w:t xml:space="preserve">: een fonds dat op zichzelf aan de </w:t>
            </w:r>
            <w:proofErr w:type="spellStart"/>
            <w:r w:rsidRPr="00970EB6">
              <w:rPr>
                <w:lang w:val="nl-NL"/>
              </w:rPr>
              <w:t>fgr</w:t>
            </w:r>
            <w:proofErr w:type="spellEnd"/>
            <w:r w:rsidRPr="00970EB6">
              <w:rPr>
                <w:lang w:val="nl-NL"/>
              </w:rPr>
              <w:t xml:space="preserve">-definitie voldoet, kan ervoor kiezen niet als </w:t>
            </w:r>
            <w:proofErr w:type="spellStart"/>
            <w:r w:rsidRPr="00970EB6">
              <w:rPr>
                <w:lang w:val="nl-NL"/>
              </w:rPr>
              <w:t>fgr</w:t>
            </w:r>
            <w:proofErr w:type="spellEnd"/>
            <w:r w:rsidRPr="00970EB6">
              <w:rPr>
                <w:lang w:val="nl-NL"/>
              </w:rPr>
              <w:t xml:space="preserve"> te worden aangemerkt en daarmee in beginsel fiscaal transparant te blijven. Dit is met name bedoeld voor meer besloten/</w:t>
            </w:r>
            <w:proofErr w:type="spellStart"/>
            <w:r w:rsidRPr="00970EB6">
              <w:rPr>
                <w:lang w:val="nl-NL"/>
              </w:rPr>
              <w:t>closed</w:t>
            </w:r>
            <w:proofErr w:type="spellEnd"/>
            <w:r w:rsidRPr="00970EB6">
              <w:rPr>
                <w:lang w:val="nl-NL"/>
              </w:rPr>
              <w:t>-end fondsen. Voor afmelding gelden drie hoofdvoorwaarden: maximaal 20 uiteindelijke achterliggers, een informatieverplichting richting de Belastingdienst en de afmeldregeling kan slechts eenmaal worden toegepast.</w:t>
            </w:r>
          </w:p>
          <w:p w14:paraId="3BC3637A" w14:textId="77777777" w:rsidR="00970EB6" w:rsidRDefault="00970EB6" w:rsidP="00B80D93">
            <w:pPr>
              <w:cnfStyle w:val="000000000000" w:firstRow="0" w:lastRow="0" w:firstColumn="0" w:lastColumn="0" w:oddVBand="0" w:evenVBand="0" w:oddHBand="0" w:evenHBand="0" w:firstRowFirstColumn="0" w:firstRowLastColumn="0" w:lastRowFirstColumn="0" w:lastRowLastColumn="0"/>
              <w:rPr>
                <w:lang w:val="nl-NL"/>
              </w:rPr>
            </w:pPr>
          </w:p>
          <w:p w14:paraId="51CC059A" w14:textId="77777777" w:rsidR="00970EB6" w:rsidRDefault="00970EB6" w:rsidP="00970EB6">
            <w:pPr>
              <w:cnfStyle w:val="000000000000" w:firstRow="0" w:lastRow="0" w:firstColumn="0" w:lastColumn="0" w:oddVBand="0" w:evenVBand="0" w:oddHBand="0" w:evenHBand="0" w:firstRowFirstColumn="0" w:firstRowLastColumn="0" w:lastRowFirstColumn="0" w:lastRowLastColumn="0"/>
              <w:rPr>
                <w:lang w:val="nl-NL"/>
              </w:rPr>
            </w:pPr>
            <w:r w:rsidRPr="00970EB6">
              <w:rPr>
                <w:lang w:val="nl-NL"/>
              </w:rPr>
              <w:t xml:space="preserve">Aanpassing </w:t>
            </w:r>
            <w:proofErr w:type="spellStart"/>
            <w:r w:rsidRPr="00970EB6">
              <w:rPr>
                <w:lang w:val="nl-NL"/>
              </w:rPr>
              <w:t>fgr</w:t>
            </w:r>
            <w:proofErr w:type="spellEnd"/>
            <w:r w:rsidRPr="00970EB6">
              <w:rPr>
                <w:lang w:val="nl-NL"/>
              </w:rPr>
              <w:t>-definitie</w:t>
            </w:r>
            <w:r>
              <w:rPr>
                <w:lang w:val="nl-NL"/>
              </w:rPr>
              <w:t xml:space="preserve"> (knelpunt 2)</w:t>
            </w:r>
            <w:r w:rsidRPr="00970EB6">
              <w:rPr>
                <w:lang w:val="nl-NL"/>
              </w:rPr>
              <w:t xml:space="preserve">: voor de aansluiting bij de </w:t>
            </w:r>
            <w:proofErr w:type="spellStart"/>
            <w:r w:rsidRPr="00970EB6">
              <w:rPr>
                <w:lang w:val="nl-NL"/>
              </w:rPr>
              <w:t>Wft</w:t>
            </w:r>
            <w:proofErr w:type="spellEnd"/>
            <w:r w:rsidRPr="00970EB6">
              <w:rPr>
                <w:lang w:val="nl-NL"/>
              </w:rPr>
              <w:t xml:space="preserve"> wordt niet langer verwezen naar beleggingsfonds en fonds voor collectieve belegging in effecten, maar naar de ruimere begrippen beleggingsinstelling en </w:t>
            </w:r>
            <w:proofErr w:type="spellStart"/>
            <w:r w:rsidRPr="00970EB6">
              <w:rPr>
                <w:lang w:val="nl-NL"/>
              </w:rPr>
              <w:t>icbe</w:t>
            </w:r>
            <w:proofErr w:type="spellEnd"/>
            <w:r w:rsidRPr="00970EB6">
              <w:rPr>
                <w:lang w:val="nl-NL"/>
              </w:rPr>
              <w:t xml:space="preserve">. Hierdoor is het onderscheid tussen een fonds en een beleggingsmaatschappij/rechtspersoon niet langer bepalend. </w:t>
            </w:r>
          </w:p>
          <w:p w14:paraId="132E8EC0" w14:textId="37889070" w:rsidR="00970EB6" w:rsidRPr="0019700F" w:rsidRDefault="00970EB6" w:rsidP="00B80D93">
            <w:pPr>
              <w:cnfStyle w:val="000000000000" w:firstRow="0" w:lastRow="0" w:firstColumn="0" w:lastColumn="0" w:oddVBand="0" w:evenVBand="0" w:oddHBand="0" w:evenHBand="0" w:firstRowFirstColumn="0" w:firstRowLastColumn="0" w:lastRowFirstColumn="0" w:lastRowLastColumn="0"/>
              <w:rPr>
                <w:lang w:val="nl-NL"/>
              </w:rPr>
            </w:pPr>
          </w:p>
        </w:tc>
        <w:tc>
          <w:tcPr>
            <w:tcW w:w="2977" w:type="dxa"/>
            <w:tcBorders>
              <w:bottom w:val="single" w:sz="4" w:space="0" w:color="auto"/>
            </w:tcBorders>
          </w:tcPr>
          <w:p w14:paraId="7C27239A" w14:textId="29046153" w:rsidR="008E502C" w:rsidRPr="0019700F" w:rsidRDefault="00926ACB" w:rsidP="008E502C">
            <w:pPr>
              <w:cnfStyle w:val="000000000000" w:firstRow="0" w:lastRow="0" w:firstColumn="0" w:lastColumn="0" w:oddVBand="0" w:evenVBand="0" w:oddHBand="0" w:evenHBand="0" w:firstRowFirstColumn="0" w:firstRowLastColumn="0" w:lastRowFirstColumn="0" w:lastRowLastColumn="0"/>
              <w:rPr>
                <w:lang w:val="nl-NL"/>
              </w:rPr>
            </w:pPr>
            <w:r>
              <w:rPr>
                <w:lang w:val="nl-NL"/>
              </w:rPr>
              <w:lastRenderedPageBreak/>
              <w:t xml:space="preserve">Vanwege het lopende </w:t>
            </w:r>
            <w:r w:rsidRPr="00926ACB">
              <w:rPr>
                <w:lang w:val="nl-NL"/>
              </w:rPr>
              <w:t>onderzoek ten aanzien van knelpunt 1 zal de uiteindelijke wetswijziging niet eerder dan 1 januari 2028 in werking treden. Voor knelpunt 2 wordt afzonderlijk een wetsvoorstel overwogen, waarvoor de inwerkingtreding mogelijk eerder kan plaatsvinden.</w:t>
            </w:r>
          </w:p>
        </w:tc>
        <w:tc>
          <w:tcPr>
            <w:tcW w:w="3402" w:type="dxa"/>
            <w:tcBorders>
              <w:bottom w:val="single" w:sz="4" w:space="0" w:color="auto"/>
            </w:tcBorders>
          </w:tcPr>
          <w:p w14:paraId="637B098F" w14:textId="498A8260" w:rsidR="00970EB6" w:rsidRPr="0019700F" w:rsidDel="004C4656" w:rsidRDefault="00970EB6" w:rsidP="00970EB6">
            <w:pPr>
              <w:cnfStyle w:val="000000000000" w:firstRow="0" w:lastRow="0" w:firstColumn="0" w:lastColumn="0" w:oddVBand="0" w:evenVBand="0" w:oddHBand="0" w:evenHBand="0" w:firstRowFirstColumn="0" w:firstRowLastColumn="0" w:lastRowFirstColumn="0" w:lastRowLastColumn="0"/>
              <w:rPr>
                <w:lang w:val="nl-NL"/>
              </w:rPr>
            </w:pPr>
            <w:r w:rsidRPr="00970EB6">
              <w:rPr>
                <w:lang w:val="nl-NL"/>
              </w:rPr>
              <w:t xml:space="preserve">Het belang voor de praktijk is vooral dat het voorstel meer duidelijkheid én flexibiliteit biedt bij de fiscale kwalificatie van beleggingsfondsen, in het bijzonder (buitenlandse) personenvennootschappen. De aangepaste </w:t>
            </w:r>
            <w:proofErr w:type="spellStart"/>
            <w:r w:rsidRPr="00970EB6">
              <w:rPr>
                <w:lang w:val="nl-NL"/>
              </w:rPr>
              <w:t>fgr</w:t>
            </w:r>
            <w:proofErr w:type="spellEnd"/>
            <w:r w:rsidRPr="00970EB6">
              <w:rPr>
                <w:lang w:val="nl-NL"/>
              </w:rPr>
              <w:t xml:space="preserve">-definitie moet onzekerheid door de huidige aansluiting bij de </w:t>
            </w:r>
            <w:proofErr w:type="spellStart"/>
            <w:r w:rsidRPr="00970EB6">
              <w:rPr>
                <w:lang w:val="nl-NL"/>
              </w:rPr>
              <w:t>Wft</w:t>
            </w:r>
            <w:proofErr w:type="spellEnd"/>
            <w:r w:rsidRPr="00970EB6">
              <w:rPr>
                <w:lang w:val="nl-NL"/>
              </w:rPr>
              <w:t xml:space="preserve"> verminderen, terwijl de afmeldregeling fondsen met een meer besloten karakter de mogelijkheid geeft om, ondanks dat zij aan de </w:t>
            </w:r>
            <w:proofErr w:type="spellStart"/>
            <w:r w:rsidRPr="00970EB6">
              <w:rPr>
                <w:lang w:val="nl-NL"/>
              </w:rPr>
              <w:t>fgr</w:t>
            </w:r>
            <w:proofErr w:type="spellEnd"/>
            <w:r w:rsidRPr="00970EB6">
              <w:rPr>
                <w:lang w:val="nl-NL"/>
              </w:rPr>
              <w:t>-definitie voldoen, fiscaal transparant te blijven. Daarmee kunnen met name ongewenste kwalificatieverschillen en hybride mismatches in internationale structuren worden voorkomen, zonder de zelfstandige belastingplicht van grotere/open fondsen los te laten.</w:t>
            </w:r>
            <w:r w:rsidRPr="0019700F" w:rsidDel="004C4656">
              <w:rPr>
                <w:lang w:val="nl-NL"/>
              </w:rPr>
              <w:t xml:space="preserve"> </w:t>
            </w:r>
          </w:p>
          <w:p w14:paraId="048DD292" w14:textId="066EDB0D" w:rsidR="008E502C" w:rsidRPr="0019700F" w:rsidRDefault="008E502C" w:rsidP="008E502C">
            <w:pPr>
              <w:cnfStyle w:val="000000000000" w:firstRow="0" w:lastRow="0" w:firstColumn="0" w:lastColumn="0" w:oddVBand="0" w:evenVBand="0" w:oddHBand="0" w:evenHBand="0" w:firstRowFirstColumn="0" w:firstRowLastColumn="0" w:lastRowFirstColumn="0" w:lastRowLastColumn="0"/>
              <w:rPr>
                <w:lang w:val="nl-NL"/>
              </w:rPr>
            </w:pPr>
          </w:p>
        </w:tc>
      </w:tr>
      <w:tr w:rsidR="008E502C" w:rsidRPr="00EB39FD" w14:paraId="195356CE" w14:textId="77777777" w:rsidTr="00AC2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Borders>
              <w:top w:val="single" w:sz="4" w:space="0" w:color="auto"/>
              <w:bottom w:val="single" w:sz="4" w:space="0" w:color="auto"/>
            </w:tcBorders>
          </w:tcPr>
          <w:p w14:paraId="16D479F7" w14:textId="38CBCBCC" w:rsidR="008E502C" w:rsidRPr="0019700F" w:rsidRDefault="008E502C" w:rsidP="008E502C">
            <w:pPr>
              <w:rPr>
                <w:lang w:val="nl-NL"/>
              </w:rPr>
            </w:pPr>
            <w:r w:rsidRPr="0019700F">
              <w:rPr>
                <w:lang w:val="nl-NL"/>
              </w:rPr>
              <w:t>Wet</w:t>
            </w:r>
            <w:r w:rsidR="00970EB6">
              <w:rPr>
                <w:lang w:val="nl-NL"/>
              </w:rPr>
              <w:t xml:space="preserve"> </w:t>
            </w:r>
            <w:proofErr w:type="gramStart"/>
            <w:r w:rsidRPr="0019700F">
              <w:rPr>
                <w:lang w:val="nl-NL"/>
              </w:rPr>
              <w:t>tegenbewijsregeling  werkelijk</w:t>
            </w:r>
            <w:proofErr w:type="gramEnd"/>
            <w:r w:rsidRPr="0019700F">
              <w:rPr>
                <w:lang w:val="nl-NL"/>
              </w:rPr>
              <w:t xml:space="preserve"> rendement in box 3</w:t>
            </w:r>
          </w:p>
        </w:tc>
        <w:tc>
          <w:tcPr>
            <w:tcW w:w="2799" w:type="dxa"/>
            <w:tcBorders>
              <w:top w:val="single" w:sz="4" w:space="0" w:color="auto"/>
              <w:bottom w:val="single" w:sz="4" w:space="0" w:color="auto"/>
            </w:tcBorders>
          </w:tcPr>
          <w:p w14:paraId="3388B474" w14:textId="65D6375F" w:rsidR="00970EB6" w:rsidRDefault="009703BF" w:rsidP="008E502C">
            <w:pPr>
              <w:cnfStyle w:val="000000100000" w:firstRow="0" w:lastRow="0" w:firstColumn="0" w:lastColumn="0" w:oddVBand="0" w:evenVBand="0" w:oddHBand="1" w:evenHBand="0" w:firstRowFirstColumn="0" w:firstRowLastColumn="0" w:lastRowFirstColumn="0" w:lastRowLastColumn="0"/>
              <w:rPr>
                <w:lang w:val="nl-NL"/>
              </w:rPr>
            </w:pPr>
            <w:r>
              <w:rPr>
                <w:lang w:val="nl-NL"/>
              </w:rPr>
              <w:t xml:space="preserve">De wet is </w:t>
            </w:r>
            <w:r w:rsidR="00970EB6">
              <w:rPr>
                <w:lang w:val="nl-NL"/>
              </w:rPr>
              <w:t>in werking getreden per 19 juli 2025. De tegenbewijsregeling is met terugwerkende kracht van toepassing vanaf 2017</w:t>
            </w:r>
          </w:p>
          <w:p w14:paraId="6DFC0080" w14:textId="77777777" w:rsidR="004E3CC2" w:rsidRDefault="004E3CC2" w:rsidP="008E502C">
            <w:pPr>
              <w:cnfStyle w:val="000000100000" w:firstRow="0" w:lastRow="0" w:firstColumn="0" w:lastColumn="0" w:oddVBand="0" w:evenVBand="0" w:oddHBand="1" w:evenHBand="0" w:firstRowFirstColumn="0" w:firstRowLastColumn="0" w:lastRowFirstColumn="0" w:lastRowLastColumn="0"/>
              <w:rPr>
                <w:lang w:val="nl-NL"/>
              </w:rPr>
            </w:pPr>
          </w:p>
          <w:p w14:paraId="7057B665" w14:textId="61B88181" w:rsidR="004E3CC2" w:rsidRPr="0019700F" w:rsidRDefault="004E3CC2" w:rsidP="008E502C">
            <w:pPr>
              <w:cnfStyle w:val="000000100000" w:firstRow="0" w:lastRow="0" w:firstColumn="0" w:lastColumn="0" w:oddVBand="0" w:evenVBand="0" w:oddHBand="1" w:evenHBand="0" w:firstRowFirstColumn="0" w:firstRowLastColumn="0" w:lastRowFirstColumn="0" w:lastRowLastColumn="0"/>
              <w:rPr>
                <w:lang w:val="nl-NL"/>
              </w:rPr>
            </w:pPr>
          </w:p>
        </w:tc>
        <w:tc>
          <w:tcPr>
            <w:tcW w:w="3192" w:type="dxa"/>
            <w:tcBorders>
              <w:top w:val="single" w:sz="4" w:space="0" w:color="auto"/>
              <w:bottom w:val="single" w:sz="4" w:space="0" w:color="auto"/>
            </w:tcBorders>
          </w:tcPr>
          <w:p w14:paraId="77BC81BE" w14:textId="77777777" w:rsidR="008E502C"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Deze regeling stelt belastingplichtigen in staat om te bewijzen dat hun feitelijke rendement op vermogensbestanddelen lager uitvalt dan het wettelijk vastgestelde forfaitaire rendement in afwachting van de invoering van het nieuwe box 3-systeem onder de Wet werkelijk rendement box 3 (verwacht per 1 januari 2028). De wet vormt een tijdelijke maatregel in box 3.</w:t>
            </w:r>
          </w:p>
          <w:p w14:paraId="15CA3BA1" w14:textId="77777777" w:rsidR="008E502C"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p>
          <w:p w14:paraId="6FFD2D56" w14:textId="5E4C32E5" w:rsidR="008E502C"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Het feitelijke rendement bestaat uit positieve reguliere voordelen (zoals rente, dividend, huur), negatieve reguliere voordelen (</w:t>
            </w:r>
            <w:r w:rsidR="00244E80">
              <w:rPr>
                <w:lang w:val="nl-NL"/>
              </w:rPr>
              <w:t>rente</w:t>
            </w:r>
            <w:r w:rsidRPr="0019700F">
              <w:rPr>
                <w:lang w:val="nl-NL"/>
              </w:rPr>
              <w:t>kosten), en vermogensaanwas. Voor woningen geldt de WOZ-waarde als uitgangspunt.</w:t>
            </w:r>
          </w:p>
        </w:tc>
        <w:tc>
          <w:tcPr>
            <w:tcW w:w="2977" w:type="dxa"/>
            <w:tcBorders>
              <w:top w:val="single" w:sz="4" w:space="0" w:color="auto"/>
              <w:bottom w:val="single" w:sz="4" w:space="0" w:color="auto"/>
            </w:tcBorders>
          </w:tcPr>
          <w:p w14:paraId="30C9F0B4" w14:textId="77777777" w:rsidR="00244E80"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 xml:space="preserve">Het OWR-formulier (Opgaaf Werkelijk Rendement) is sinds 10 juli 2025 beschikbaar via Mijn Belastingdienst en moet verplicht worden gebruikt voor een beroep op de tegenbewijsregeling. </w:t>
            </w:r>
          </w:p>
          <w:p w14:paraId="52866F2E" w14:textId="77777777" w:rsidR="00244E80" w:rsidRDefault="00244E80" w:rsidP="008E502C">
            <w:pPr>
              <w:cnfStyle w:val="000000100000" w:firstRow="0" w:lastRow="0" w:firstColumn="0" w:lastColumn="0" w:oddVBand="0" w:evenVBand="0" w:oddHBand="1" w:evenHBand="0" w:firstRowFirstColumn="0" w:firstRowLastColumn="0" w:lastRowFirstColumn="0" w:lastRowLastColumn="0"/>
              <w:rPr>
                <w:lang w:val="nl-NL"/>
              </w:rPr>
            </w:pPr>
          </w:p>
          <w:p w14:paraId="5EC124C4" w14:textId="3619C63D" w:rsidR="00737C4A" w:rsidRPr="0019700F" w:rsidRDefault="008E502C" w:rsidP="008E502C">
            <w:pPr>
              <w:cnfStyle w:val="000000100000" w:firstRow="0" w:lastRow="0" w:firstColumn="0" w:lastColumn="0" w:oddVBand="0" w:evenVBand="0" w:oddHBand="1" w:evenHBand="0" w:firstRowFirstColumn="0" w:firstRowLastColumn="0" w:lastRowFirstColumn="0" w:lastRowLastColumn="0"/>
              <w:rPr>
                <w:lang w:val="nl-NL"/>
              </w:rPr>
            </w:pPr>
            <w:r w:rsidRPr="0019700F">
              <w:rPr>
                <w:lang w:val="nl-NL"/>
              </w:rPr>
              <w:t>De Belastingdienst verstuurt vanaf half juli attentiebrieven met informatie over het formulier.</w:t>
            </w:r>
            <w:r w:rsidR="00244E80">
              <w:rPr>
                <w:lang w:val="nl-NL"/>
              </w:rPr>
              <w:t xml:space="preserve"> </w:t>
            </w:r>
            <w:r w:rsidRPr="0019700F">
              <w:rPr>
                <w:lang w:val="nl-NL"/>
              </w:rPr>
              <w:t xml:space="preserve">Voor elk belastingjaar moet een afzonderlijk formulier worden ingediend binnen 12 weken (of 26 weken bij indiening door een intermediair) na dagtekening van de attentiebrief. </w:t>
            </w:r>
          </w:p>
        </w:tc>
        <w:tc>
          <w:tcPr>
            <w:tcW w:w="3402" w:type="dxa"/>
            <w:tcBorders>
              <w:top w:val="single" w:sz="4" w:space="0" w:color="auto"/>
              <w:bottom w:val="single" w:sz="4" w:space="0" w:color="auto"/>
            </w:tcBorders>
          </w:tcPr>
          <w:p w14:paraId="32AC5C07" w14:textId="2DD7F552" w:rsidR="008E502C" w:rsidRPr="0019700F" w:rsidRDefault="00244E80" w:rsidP="008E502C">
            <w:pPr>
              <w:cnfStyle w:val="000000100000" w:firstRow="0" w:lastRow="0" w:firstColumn="0" w:lastColumn="0" w:oddVBand="0" w:evenVBand="0" w:oddHBand="1" w:evenHBand="0" w:firstRowFirstColumn="0" w:firstRowLastColumn="0" w:lastRowFirstColumn="0" w:lastRowLastColumn="0"/>
              <w:rPr>
                <w:lang w:val="nl-NL"/>
              </w:rPr>
            </w:pPr>
            <w:r w:rsidRPr="00244E80">
              <w:rPr>
                <w:lang w:val="nl-NL"/>
              </w:rPr>
              <w:t xml:space="preserve">Het belang voor de praktijk is dat belastingplichtigen met box 3-vermogen voortaan </w:t>
            </w:r>
            <w:r w:rsidRPr="00244E80">
              <w:rPr>
                <w:rStyle w:val="Zwaar"/>
                <w:b w:val="0"/>
                <w:bCs w:val="0"/>
                <w:lang w:val="nl-NL"/>
              </w:rPr>
              <w:t>tegenbewijs kunnen leveren wanneer hun werkelijke rendement lager is dan het forfaitair berekende rendement</w:t>
            </w:r>
            <w:r w:rsidRPr="00244E80">
              <w:rPr>
                <w:b/>
                <w:bCs/>
                <w:lang w:val="nl-NL"/>
              </w:rPr>
              <w:t xml:space="preserve">. </w:t>
            </w:r>
            <w:r w:rsidRPr="00244E80">
              <w:rPr>
                <w:lang w:val="nl-NL"/>
              </w:rPr>
              <w:t xml:space="preserve">In dat geval wordt de box 3-heffing gebaseerd op het lagere werkelijke rendement, waarmee de wet uitvoering geeft aan de rechtspraak van de Hoge Raad. De regeling is bovendien relevant voor eerdere belastingjaren, waardoor belastingplichtigen mogelijk recht hebben op vermindering of teruggaaf van </w:t>
            </w:r>
            <w:proofErr w:type="gramStart"/>
            <w:r w:rsidRPr="00244E80">
              <w:rPr>
                <w:lang w:val="nl-NL"/>
              </w:rPr>
              <w:t>reeds</w:t>
            </w:r>
            <w:proofErr w:type="gramEnd"/>
            <w:r w:rsidRPr="00244E80">
              <w:rPr>
                <w:lang w:val="nl-NL"/>
              </w:rPr>
              <w:t xml:space="preserve"> geheven box 3-belasting. In de praktijk betekent dit dat per belastingplichtige en per jaar moet worden beoordeeld of het zinvol is het werkelijke rendement aannemelijk te maken, waarbij ook de administratieve lasten en bewijspositie een belangrijke rol spelen.</w:t>
            </w:r>
          </w:p>
        </w:tc>
      </w:tr>
      <w:tr w:rsidR="00C25585" w:rsidRPr="00EB39FD" w14:paraId="32D5FEC6" w14:textId="77777777" w:rsidTr="00ED29E7">
        <w:trPr>
          <w:trHeight w:val="268"/>
        </w:trPr>
        <w:tc>
          <w:tcPr>
            <w:cnfStyle w:val="001000000000" w:firstRow="0" w:lastRow="0" w:firstColumn="1" w:lastColumn="0" w:oddVBand="0" w:evenVBand="0" w:oddHBand="0" w:evenHBand="0" w:firstRowFirstColumn="0" w:firstRowLastColumn="0" w:lastRowFirstColumn="0" w:lastRowLastColumn="0"/>
            <w:tcW w:w="2798" w:type="dxa"/>
            <w:tcBorders>
              <w:top w:val="single" w:sz="4" w:space="0" w:color="auto"/>
              <w:bottom w:val="single" w:sz="4" w:space="0" w:color="auto"/>
            </w:tcBorders>
          </w:tcPr>
          <w:p w14:paraId="2E3841B9" w14:textId="63E5F26C" w:rsidR="00C25585" w:rsidRPr="00C53042" w:rsidRDefault="00ED29E7" w:rsidP="008E502C">
            <w:pPr>
              <w:rPr>
                <w:lang w:val="nl-NL"/>
              </w:rPr>
            </w:pPr>
            <w:r>
              <w:rPr>
                <w:lang w:val="nl-NL"/>
              </w:rPr>
              <w:t>Wetsvoorstel ‘Wet werkelijk rendement box 3’</w:t>
            </w:r>
          </w:p>
        </w:tc>
        <w:tc>
          <w:tcPr>
            <w:tcW w:w="2799" w:type="dxa"/>
            <w:tcBorders>
              <w:top w:val="single" w:sz="4" w:space="0" w:color="auto"/>
              <w:bottom w:val="single" w:sz="4" w:space="0" w:color="auto"/>
            </w:tcBorders>
          </w:tcPr>
          <w:p w14:paraId="3F3E2B07" w14:textId="32B75F74" w:rsidR="00C25585" w:rsidRPr="0019700F" w:rsidDel="009703BF" w:rsidRDefault="001D2EF8" w:rsidP="008E502C">
            <w:pPr>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Op 12 februari 2026 aangenomen door de Tweede Kamer. </w:t>
            </w:r>
            <w:r w:rsidR="008E107C">
              <w:rPr>
                <w:lang w:val="nl-NL"/>
              </w:rPr>
              <w:t>De plenaire behandeling in de Eerste Kamer vond plaats op 30 juni 2026.</w:t>
            </w:r>
            <w:r w:rsidR="00143EA5">
              <w:rPr>
                <w:lang w:val="nl-NL"/>
              </w:rPr>
              <w:t xml:space="preserve"> De Eerste Kamer houdt de stemming aan in </w:t>
            </w:r>
            <w:r w:rsidR="00143EA5">
              <w:rPr>
                <w:lang w:val="nl-NL"/>
              </w:rPr>
              <w:lastRenderedPageBreak/>
              <w:t>afwachting van de aangekondigde novelle op Prinsjesdag (15 september 2026).</w:t>
            </w:r>
          </w:p>
        </w:tc>
        <w:tc>
          <w:tcPr>
            <w:tcW w:w="3192" w:type="dxa"/>
            <w:tcBorders>
              <w:top w:val="single" w:sz="4" w:space="0" w:color="auto"/>
              <w:bottom w:val="single" w:sz="4" w:space="0" w:color="auto"/>
            </w:tcBorders>
          </w:tcPr>
          <w:p w14:paraId="4F0576B2" w14:textId="18629230" w:rsidR="00C25585" w:rsidRPr="0019700F" w:rsidRDefault="00863595" w:rsidP="008E502C">
            <w:pPr>
              <w:cnfStyle w:val="000000000000" w:firstRow="0" w:lastRow="0" w:firstColumn="0" w:lastColumn="0" w:oddVBand="0" w:evenVBand="0" w:oddHBand="0" w:evenHBand="0" w:firstRowFirstColumn="0" w:firstRowLastColumn="0" w:lastRowFirstColumn="0" w:lastRowLastColumn="0"/>
              <w:rPr>
                <w:lang w:val="nl-NL"/>
              </w:rPr>
            </w:pPr>
            <w:r w:rsidRPr="00863595">
              <w:rPr>
                <w:lang w:val="nl-NL"/>
              </w:rPr>
              <w:lastRenderedPageBreak/>
              <w:t xml:space="preserve">In </w:t>
            </w:r>
            <w:r>
              <w:rPr>
                <w:lang w:val="nl-NL"/>
              </w:rPr>
              <w:t xml:space="preserve">dit </w:t>
            </w:r>
            <w:r w:rsidR="00392CD2">
              <w:rPr>
                <w:lang w:val="nl-NL"/>
              </w:rPr>
              <w:t>voorstel</w:t>
            </w:r>
            <w:r w:rsidRPr="00863595">
              <w:rPr>
                <w:lang w:val="nl-NL"/>
              </w:rPr>
              <w:t xml:space="preserve"> wordt inkomstenbelasting als hoofdregel geheven over het werkelijke rendement uit sparen en beleggen (box 3) op basis van vermogensaanwas. Hierbij worden de werkelijke inkomsten uit vermogen en de (positieve of negatieve) </w:t>
            </w:r>
            <w:r w:rsidRPr="00863595">
              <w:rPr>
                <w:lang w:val="nl-NL"/>
              </w:rPr>
              <w:lastRenderedPageBreak/>
              <w:t xml:space="preserve">waardeontwikkeling belast en zijn kosten aftrekbaar. Voor onroerende zaken en aandelen in of winstbewijzen van startende ondernemingen geldt als uitzondering op de hoofdregel een vermogenswinstbelasting. Daardoor wordt waardeontwikkeling voor deze vermogensbestanddelen belast bij realisatie, zoals bij verkoop. </w:t>
            </w:r>
          </w:p>
        </w:tc>
        <w:tc>
          <w:tcPr>
            <w:tcW w:w="2977" w:type="dxa"/>
            <w:tcBorders>
              <w:top w:val="single" w:sz="4" w:space="0" w:color="auto"/>
              <w:bottom w:val="single" w:sz="4" w:space="0" w:color="auto"/>
            </w:tcBorders>
          </w:tcPr>
          <w:p w14:paraId="1FA76BA0" w14:textId="17B05E08" w:rsidR="00C25585" w:rsidRPr="0019700F" w:rsidRDefault="0062753D" w:rsidP="008E502C">
            <w:pPr>
              <w:cnfStyle w:val="000000000000" w:firstRow="0" w:lastRow="0" w:firstColumn="0" w:lastColumn="0" w:oddVBand="0" w:evenVBand="0" w:oddHBand="0" w:evenHBand="0" w:firstRowFirstColumn="0" w:firstRowLastColumn="0" w:lastRowFirstColumn="0" w:lastRowLastColumn="0"/>
              <w:rPr>
                <w:lang w:val="nl-NL"/>
              </w:rPr>
            </w:pPr>
            <w:r>
              <w:rPr>
                <w:lang w:val="nl-NL"/>
              </w:rPr>
              <w:lastRenderedPageBreak/>
              <w:t xml:space="preserve">Het kabinet streeft ernaar om per 1 januari 2028 </w:t>
            </w:r>
            <w:r w:rsidR="00C43903">
              <w:rPr>
                <w:lang w:val="nl-NL"/>
              </w:rPr>
              <w:t>deze wet in te voeren.</w:t>
            </w:r>
          </w:p>
        </w:tc>
        <w:tc>
          <w:tcPr>
            <w:tcW w:w="3402" w:type="dxa"/>
            <w:tcBorders>
              <w:top w:val="single" w:sz="4" w:space="0" w:color="auto"/>
              <w:bottom w:val="single" w:sz="4" w:space="0" w:color="auto"/>
            </w:tcBorders>
          </w:tcPr>
          <w:p w14:paraId="74D88E3F" w14:textId="3027A2F0" w:rsidR="00C25585" w:rsidRPr="0019700F" w:rsidRDefault="00392CD2" w:rsidP="008E502C">
            <w:pPr>
              <w:cnfStyle w:val="000000000000" w:firstRow="0" w:lastRow="0" w:firstColumn="0" w:lastColumn="0" w:oddVBand="0" w:evenVBand="0" w:oddHBand="0" w:evenHBand="0" w:firstRowFirstColumn="0" w:firstRowLastColumn="0" w:lastRowFirstColumn="0" w:lastRowLastColumn="0"/>
              <w:rPr>
                <w:lang w:val="nl-NL"/>
              </w:rPr>
            </w:pPr>
            <w:r w:rsidRPr="00392CD2">
              <w:rPr>
                <w:lang w:val="nl-NL"/>
              </w:rPr>
              <w:t>In dit voorstel wordt belasting</w:t>
            </w:r>
            <w:r w:rsidR="008B160B">
              <w:rPr>
                <w:lang w:val="nl-NL"/>
              </w:rPr>
              <w:t xml:space="preserve"> op vermogen</w:t>
            </w:r>
            <w:r w:rsidRPr="00392CD2">
              <w:rPr>
                <w:lang w:val="nl-NL"/>
              </w:rPr>
              <w:t xml:space="preserve"> als hoofdregel vormgegeven als een vermogensaanwasbelasting en wordt het werkelijke rendement van vermogen belast. De forfaitaire vaststelling van het inkomen uit </w:t>
            </w:r>
            <w:r w:rsidRPr="00392CD2">
              <w:rPr>
                <w:lang w:val="nl-NL"/>
              </w:rPr>
              <w:lastRenderedPageBreak/>
              <w:t>sparen en beleggen komt te vervallen.</w:t>
            </w:r>
          </w:p>
        </w:tc>
      </w:tr>
    </w:tbl>
    <w:p w14:paraId="7D7F7C86" w14:textId="77777777" w:rsidR="0061587E" w:rsidRPr="0019700F" w:rsidRDefault="0061587E" w:rsidP="00685EE0">
      <w:pPr>
        <w:rPr>
          <w:lang w:val="nl-NL"/>
        </w:rPr>
      </w:pPr>
    </w:p>
    <w:sectPr w:rsidR="0061587E" w:rsidRPr="0019700F" w:rsidSect="00DE7D74">
      <w:head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3754" w14:textId="77777777" w:rsidR="00074F33" w:rsidRDefault="00074F33" w:rsidP="00DE7D74">
      <w:pPr>
        <w:spacing w:line="240" w:lineRule="auto"/>
      </w:pPr>
      <w:r>
        <w:separator/>
      </w:r>
    </w:p>
  </w:endnote>
  <w:endnote w:type="continuationSeparator" w:id="0">
    <w:p w14:paraId="5EA47D2B" w14:textId="77777777" w:rsidR="00074F33" w:rsidRDefault="00074F33" w:rsidP="00DE7D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panose1 w:val="00000500000000000000"/>
    <w:charset w:val="00"/>
    <w:family w:val="auto"/>
    <w:pitch w:val="variable"/>
    <w:sig w:usb0="20000207" w:usb1="00000002"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3194" w14:textId="77777777" w:rsidR="00074F33" w:rsidRDefault="00074F33" w:rsidP="00DE7D74">
      <w:pPr>
        <w:spacing w:line="240" w:lineRule="auto"/>
      </w:pPr>
      <w:r>
        <w:separator/>
      </w:r>
    </w:p>
  </w:footnote>
  <w:footnote w:type="continuationSeparator" w:id="0">
    <w:p w14:paraId="59A9D0B3" w14:textId="77777777" w:rsidR="00074F33" w:rsidRDefault="00074F33" w:rsidP="00DE7D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922E" w14:textId="1BCC1EC9" w:rsidR="00DE7D74" w:rsidRPr="00DE7D74" w:rsidRDefault="00DE7D74" w:rsidP="00DE7D74">
    <w:pPr>
      <w:pStyle w:val="Koptekst"/>
      <w:jc w:val="center"/>
      <w:rPr>
        <w:lang w:val="nl-NL"/>
      </w:rPr>
    </w:pPr>
    <w:r w:rsidRPr="00DE7D74">
      <w:rPr>
        <w:lang w:val="nl-NL"/>
      </w:rPr>
      <w:t xml:space="preserve">Wetgevingsmatrix </w:t>
    </w:r>
    <w:r w:rsidR="007B107B">
      <w:rPr>
        <w:lang w:val="nl-NL"/>
      </w:rPr>
      <w:t xml:space="preserve">Non-Bancaire Financieringen - </w:t>
    </w:r>
    <w:r w:rsidRPr="00DE7D74">
      <w:rPr>
        <w:lang w:val="nl-NL"/>
      </w:rPr>
      <w:t>Van Doorne N.V.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0396D198"/>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F100504"/>
    <w:multiLevelType w:val="hybridMultilevel"/>
    <w:tmpl w:val="A20E5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13F542B7"/>
    <w:multiLevelType w:val="singleLevel"/>
    <w:tmpl w:val="89B427B6"/>
    <w:lvl w:ilvl="0">
      <w:numFmt w:val="bullet"/>
      <w:pStyle w:val="Opsommingsteken2"/>
      <w:lvlText w:val="-"/>
      <w:lvlJc w:val="left"/>
      <w:pPr>
        <w:tabs>
          <w:tab w:val="num" w:pos="425"/>
        </w:tabs>
        <w:ind w:left="425" w:hanging="425"/>
      </w:pPr>
      <w:rPr>
        <w:rFonts w:ascii="Merriweather" w:hAnsi="Merriweather" w:hint="default"/>
        <w:b w:val="0"/>
        <w:i w:val="0"/>
        <w:sz w:val="17"/>
        <w:szCs w:val="17"/>
      </w:rPr>
    </w:lvl>
  </w:abstractNum>
  <w:abstractNum w:abstractNumId="16"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E942625"/>
    <w:multiLevelType w:val="singleLevel"/>
    <w:tmpl w:val="5D480AA8"/>
    <w:lvl w:ilvl="0">
      <w:start w:val="1"/>
      <w:numFmt w:val="decimal"/>
      <w:pStyle w:val="Nummering"/>
      <w:lvlText w:val="%1"/>
      <w:lvlJc w:val="left"/>
      <w:pPr>
        <w:tabs>
          <w:tab w:val="num" w:pos="425"/>
        </w:tabs>
        <w:ind w:left="425" w:hanging="425"/>
      </w:pPr>
      <w:rPr>
        <w:rFonts w:ascii="Merriweather" w:hAnsi="Merriweather" w:hint="default"/>
        <w:b w:val="0"/>
        <w:i w:val="0"/>
        <w:sz w:val="17"/>
        <w:szCs w:val="17"/>
      </w:rPr>
    </w:lvl>
  </w:abstractNum>
  <w:abstractNum w:abstractNumId="19"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DC1EBE"/>
    <w:multiLevelType w:val="hybridMultilevel"/>
    <w:tmpl w:val="0F14D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52DF029A"/>
    <w:multiLevelType w:val="singleLevel"/>
    <w:tmpl w:val="311C75A8"/>
    <w:lvl w:ilvl="0">
      <w:start w:val="1"/>
      <w:numFmt w:val="lowerLetter"/>
      <w:pStyle w:val="Nummering2"/>
      <w:lvlText w:val="%1)"/>
      <w:lvlJc w:val="left"/>
      <w:pPr>
        <w:tabs>
          <w:tab w:val="num" w:pos="425"/>
        </w:tabs>
        <w:ind w:left="425" w:hanging="425"/>
      </w:pPr>
      <w:rPr>
        <w:rFonts w:ascii="Merriweather" w:hAnsi="Merriweather" w:hint="default"/>
        <w:b w:val="0"/>
        <w:i w:val="0"/>
        <w:sz w:val="17"/>
        <w:szCs w:val="17"/>
      </w:rPr>
    </w:lvl>
  </w:abstractNum>
  <w:abstractNum w:abstractNumId="24"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D596E73"/>
    <w:multiLevelType w:val="hybridMultilevel"/>
    <w:tmpl w:val="66B464E0"/>
    <w:lvl w:ilvl="0" w:tplc="A81017DA">
      <w:numFmt w:val="bullet"/>
      <w:lvlText w:val="-"/>
      <w:lvlJc w:val="left"/>
      <w:pPr>
        <w:ind w:left="720" w:hanging="360"/>
      </w:pPr>
      <w:rPr>
        <w:rFonts w:ascii="Merriweather" w:eastAsiaTheme="minorHAnsi" w:hAnsi="Merriweath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6A0C79"/>
    <w:multiLevelType w:val="singleLevel"/>
    <w:tmpl w:val="FBA46F14"/>
    <w:lvl w:ilvl="0">
      <w:start w:val="1"/>
      <w:numFmt w:val="bullet"/>
      <w:pStyle w:val="Opsommingsteken"/>
      <w:lvlText w:val=""/>
      <w:lvlJc w:val="left"/>
      <w:pPr>
        <w:tabs>
          <w:tab w:val="num" w:pos="425"/>
        </w:tabs>
        <w:ind w:left="425" w:hanging="425"/>
      </w:pPr>
      <w:rPr>
        <w:rFonts w:ascii="Symbol" w:hAnsi="Symbol" w:hint="default"/>
      </w:rPr>
    </w:lvl>
  </w:abstractNum>
  <w:abstractNum w:abstractNumId="28"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00759268">
    <w:abstractNumId w:val="22"/>
  </w:num>
  <w:num w:numId="2" w16cid:durableId="23677049">
    <w:abstractNumId w:val="24"/>
  </w:num>
  <w:num w:numId="3" w16cid:durableId="1773209672">
    <w:abstractNumId w:val="13"/>
  </w:num>
  <w:num w:numId="4" w16cid:durableId="1172136387">
    <w:abstractNumId w:val="19"/>
  </w:num>
  <w:num w:numId="5" w16cid:durableId="1520923362">
    <w:abstractNumId w:val="17"/>
  </w:num>
  <w:num w:numId="6" w16cid:durableId="576280899">
    <w:abstractNumId w:val="14"/>
  </w:num>
  <w:num w:numId="7" w16cid:durableId="7698618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9003424">
    <w:abstractNumId w:val="10"/>
  </w:num>
  <w:num w:numId="9" w16cid:durableId="70931576">
    <w:abstractNumId w:val="28"/>
  </w:num>
  <w:num w:numId="10" w16cid:durableId="1507017271">
    <w:abstractNumId w:val="18"/>
  </w:num>
  <w:num w:numId="11" w16cid:durableId="1796018204">
    <w:abstractNumId w:val="23"/>
  </w:num>
  <w:num w:numId="12" w16cid:durableId="148714935">
    <w:abstractNumId w:val="27"/>
  </w:num>
  <w:num w:numId="13" w16cid:durableId="731122788">
    <w:abstractNumId w:val="15"/>
  </w:num>
  <w:num w:numId="14" w16cid:durableId="273094420">
    <w:abstractNumId w:val="25"/>
  </w:num>
  <w:num w:numId="15" w16cid:durableId="110247199">
    <w:abstractNumId w:val="20"/>
  </w:num>
  <w:num w:numId="16" w16cid:durableId="1292134698">
    <w:abstractNumId w:val="16"/>
  </w:num>
  <w:num w:numId="17" w16cid:durableId="1807047087">
    <w:abstractNumId w:val="11"/>
  </w:num>
  <w:num w:numId="18" w16cid:durableId="477574727">
    <w:abstractNumId w:val="9"/>
  </w:num>
  <w:num w:numId="19" w16cid:durableId="465465255">
    <w:abstractNumId w:val="7"/>
  </w:num>
  <w:num w:numId="20" w16cid:durableId="762651723">
    <w:abstractNumId w:val="6"/>
  </w:num>
  <w:num w:numId="21" w16cid:durableId="538056713">
    <w:abstractNumId w:val="5"/>
  </w:num>
  <w:num w:numId="22" w16cid:durableId="62878557">
    <w:abstractNumId w:val="4"/>
  </w:num>
  <w:num w:numId="23" w16cid:durableId="279453583">
    <w:abstractNumId w:val="8"/>
  </w:num>
  <w:num w:numId="24" w16cid:durableId="1471092770">
    <w:abstractNumId w:val="3"/>
  </w:num>
  <w:num w:numId="25" w16cid:durableId="1865822770">
    <w:abstractNumId w:val="2"/>
  </w:num>
  <w:num w:numId="26" w16cid:durableId="1669097849">
    <w:abstractNumId w:val="1"/>
  </w:num>
  <w:num w:numId="27" w16cid:durableId="751705961">
    <w:abstractNumId w:val="0"/>
  </w:num>
  <w:num w:numId="28" w16cid:durableId="1465657975">
    <w:abstractNumId w:val="15"/>
  </w:num>
  <w:num w:numId="29" w16cid:durableId="1933466088">
    <w:abstractNumId w:val="26"/>
  </w:num>
  <w:num w:numId="30" w16cid:durableId="271523781">
    <w:abstractNumId w:val="12"/>
  </w:num>
  <w:num w:numId="31" w16cid:durableId="1501731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7E"/>
    <w:rsid w:val="000120E9"/>
    <w:rsid w:val="000137C3"/>
    <w:rsid w:val="00013C6F"/>
    <w:rsid w:val="00033F42"/>
    <w:rsid w:val="00044249"/>
    <w:rsid w:val="00044921"/>
    <w:rsid w:val="000475A9"/>
    <w:rsid w:val="00054DE2"/>
    <w:rsid w:val="00061C3D"/>
    <w:rsid w:val="0006307F"/>
    <w:rsid w:val="00067D1C"/>
    <w:rsid w:val="00074F33"/>
    <w:rsid w:val="00090E59"/>
    <w:rsid w:val="00096072"/>
    <w:rsid w:val="000B0264"/>
    <w:rsid w:val="000B18BB"/>
    <w:rsid w:val="000B2D3D"/>
    <w:rsid w:val="000B7942"/>
    <w:rsid w:val="000C0B5B"/>
    <w:rsid w:val="000C16E9"/>
    <w:rsid w:val="000C186D"/>
    <w:rsid w:val="000C370A"/>
    <w:rsid w:val="000D55A2"/>
    <w:rsid w:val="000F2F82"/>
    <w:rsid w:val="000F4012"/>
    <w:rsid w:val="000F7306"/>
    <w:rsid w:val="00112BED"/>
    <w:rsid w:val="00116B46"/>
    <w:rsid w:val="00132100"/>
    <w:rsid w:val="00143EA5"/>
    <w:rsid w:val="00143EBE"/>
    <w:rsid w:val="00147EF0"/>
    <w:rsid w:val="00160F6B"/>
    <w:rsid w:val="0016432D"/>
    <w:rsid w:val="00177708"/>
    <w:rsid w:val="001778FE"/>
    <w:rsid w:val="0018642C"/>
    <w:rsid w:val="0019700F"/>
    <w:rsid w:val="001C77CC"/>
    <w:rsid w:val="001D2EF8"/>
    <w:rsid w:val="001D35AF"/>
    <w:rsid w:val="001F358D"/>
    <w:rsid w:val="001F6C85"/>
    <w:rsid w:val="00206CE2"/>
    <w:rsid w:val="002109A3"/>
    <w:rsid w:val="00216BCB"/>
    <w:rsid w:val="00225D24"/>
    <w:rsid w:val="00226BD4"/>
    <w:rsid w:val="002428D5"/>
    <w:rsid w:val="00244E80"/>
    <w:rsid w:val="0024742F"/>
    <w:rsid w:val="002528F0"/>
    <w:rsid w:val="002647C5"/>
    <w:rsid w:val="0027588F"/>
    <w:rsid w:val="0028161A"/>
    <w:rsid w:val="00287135"/>
    <w:rsid w:val="002B5C8B"/>
    <w:rsid w:val="002C7FD6"/>
    <w:rsid w:val="002D36A0"/>
    <w:rsid w:val="002E4AC2"/>
    <w:rsid w:val="002E7AAC"/>
    <w:rsid w:val="00320927"/>
    <w:rsid w:val="0033683F"/>
    <w:rsid w:val="00340924"/>
    <w:rsid w:val="003520ED"/>
    <w:rsid w:val="0035446E"/>
    <w:rsid w:val="0037210B"/>
    <w:rsid w:val="003734A5"/>
    <w:rsid w:val="003918AF"/>
    <w:rsid w:val="00392CD2"/>
    <w:rsid w:val="003957A7"/>
    <w:rsid w:val="003A2EE0"/>
    <w:rsid w:val="003A32DE"/>
    <w:rsid w:val="003A7161"/>
    <w:rsid w:val="003B3A35"/>
    <w:rsid w:val="003E4425"/>
    <w:rsid w:val="003E7CE5"/>
    <w:rsid w:val="003F03F6"/>
    <w:rsid w:val="003F6CFC"/>
    <w:rsid w:val="00400D1E"/>
    <w:rsid w:val="004019EE"/>
    <w:rsid w:val="004025D1"/>
    <w:rsid w:val="00406C26"/>
    <w:rsid w:val="00411FAE"/>
    <w:rsid w:val="004137E7"/>
    <w:rsid w:val="004149F3"/>
    <w:rsid w:val="00427CE8"/>
    <w:rsid w:val="004409E2"/>
    <w:rsid w:val="00441968"/>
    <w:rsid w:val="00455B70"/>
    <w:rsid w:val="0046663E"/>
    <w:rsid w:val="00473274"/>
    <w:rsid w:val="00486CFE"/>
    <w:rsid w:val="0049177B"/>
    <w:rsid w:val="004921E4"/>
    <w:rsid w:val="004A5E5E"/>
    <w:rsid w:val="004B228E"/>
    <w:rsid w:val="004C4225"/>
    <w:rsid w:val="004C4656"/>
    <w:rsid w:val="004D344A"/>
    <w:rsid w:val="004D4547"/>
    <w:rsid w:val="004D6B2B"/>
    <w:rsid w:val="004E3CC2"/>
    <w:rsid w:val="004E46E0"/>
    <w:rsid w:val="00510D82"/>
    <w:rsid w:val="00537D00"/>
    <w:rsid w:val="00543356"/>
    <w:rsid w:val="005506CA"/>
    <w:rsid w:val="005579F9"/>
    <w:rsid w:val="00592113"/>
    <w:rsid w:val="005C104C"/>
    <w:rsid w:val="005F0F92"/>
    <w:rsid w:val="005F1633"/>
    <w:rsid w:val="005F35C9"/>
    <w:rsid w:val="005F35DE"/>
    <w:rsid w:val="006012E9"/>
    <w:rsid w:val="0061587E"/>
    <w:rsid w:val="00625C6D"/>
    <w:rsid w:val="0062753D"/>
    <w:rsid w:val="00631C93"/>
    <w:rsid w:val="0063540D"/>
    <w:rsid w:val="0063721E"/>
    <w:rsid w:val="00663431"/>
    <w:rsid w:val="006725DC"/>
    <w:rsid w:val="00685EE0"/>
    <w:rsid w:val="00690124"/>
    <w:rsid w:val="00697A9C"/>
    <w:rsid w:val="006A660D"/>
    <w:rsid w:val="006D2C2E"/>
    <w:rsid w:val="006D4C04"/>
    <w:rsid w:val="006E362D"/>
    <w:rsid w:val="006E5B10"/>
    <w:rsid w:val="007029C2"/>
    <w:rsid w:val="007056F6"/>
    <w:rsid w:val="00707198"/>
    <w:rsid w:val="00712CB4"/>
    <w:rsid w:val="00723565"/>
    <w:rsid w:val="007250D4"/>
    <w:rsid w:val="007367FC"/>
    <w:rsid w:val="00737C4A"/>
    <w:rsid w:val="00741157"/>
    <w:rsid w:val="00746F6F"/>
    <w:rsid w:val="00760D27"/>
    <w:rsid w:val="00770DA0"/>
    <w:rsid w:val="007713C0"/>
    <w:rsid w:val="00777E98"/>
    <w:rsid w:val="00794847"/>
    <w:rsid w:val="00796C5A"/>
    <w:rsid w:val="007A196A"/>
    <w:rsid w:val="007A7BD2"/>
    <w:rsid w:val="007B107B"/>
    <w:rsid w:val="007D4084"/>
    <w:rsid w:val="007F2F58"/>
    <w:rsid w:val="00802855"/>
    <w:rsid w:val="00803D9F"/>
    <w:rsid w:val="0080768A"/>
    <w:rsid w:val="00824B0A"/>
    <w:rsid w:val="00832198"/>
    <w:rsid w:val="00834983"/>
    <w:rsid w:val="00843526"/>
    <w:rsid w:val="00854D1E"/>
    <w:rsid w:val="00854DEF"/>
    <w:rsid w:val="00863595"/>
    <w:rsid w:val="00867DF5"/>
    <w:rsid w:val="00873762"/>
    <w:rsid w:val="00891527"/>
    <w:rsid w:val="00892D59"/>
    <w:rsid w:val="008B0F3F"/>
    <w:rsid w:val="008B160B"/>
    <w:rsid w:val="008B3925"/>
    <w:rsid w:val="008C7FBC"/>
    <w:rsid w:val="008E107C"/>
    <w:rsid w:val="008E502C"/>
    <w:rsid w:val="008F6356"/>
    <w:rsid w:val="00912DAF"/>
    <w:rsid w:val="00914AB6"/>
    <w:rsid w:val="009159E7"/>
    <w:rsid w:val="00926ACB"/>
    <w:rsid w:val="00927AD0"/>
    <w:rsid w:val="0093591D"/>
    <w:rsid w:val="00965614"/>
    <w:rsid w:val="009703BF"/>
    <w:rsid w:val="00970EB6"/>
    <w:rsid w:val="00971BCC"/>
    <w:rsid w:val="00977540"/>
    <w:rsid w:val="00984643"/>
    <w:rsid w:val="0099215D"/>
    <w:rsid w:val="009D4917"/>
    <w:rsid w:val="009D5E6C"/>
    <w:rsid w:val="009E4C25"/>
    <w:rsid w:val="009F1C95"/>
    <w:rsid w:val="009F525F"/>
    <w:rsid w:val="009F6409"/>
    <w:rsid w:val="00A05129"/>
    <w:rsid w:val="00A219B5"/>
    <w:rsid w:val="00A321A3"/>
    <w:rsid w:val="00A328AE"/>
    <w:rsid w:val="00A33491"/>
    <w:rsid w:val="00A765C3"/>
    <w:rsid w:val="00A84CE2"/>
    <w:rsid w:val="00AA2865"/>
    <w:rsid w:val="00AA2FF1"/>
    <w:rsid w:val="00AA4095"/>
    <w:rsid w:val="00AB106A"/>
    <w:rsid w:val="00AC1170"/>
    <w:rsid w:val="00AC2A0D"/>
    <w:rsid w:val="00AE745C"/>
    <w:rsid w:val="00AF58C5"/>
    <w:rsid w:val="00AF77C4"/>
    <w:rsid w:val="00B2378C"/>
    <w:rsid w:val="00B2472E"/>
    <w:rsid w:val="00B44197"/>
    <w:rsid w:val="00B47602"/>
    <w:rsid w:val="00B50590"/>
    <w:rsid w:val="00B52BFB"/>
    <w:rsid w:val="00B604F5"/>
    <w:rsid w:val="00B64A75"/>
    <w:rsid w:val="00B702DE"/>
    <w:rsid w:val="00B722F6"/>
    <w:rsid w:val="00B80D93"/>
    <w:rsid w:val="00BB01EE"/>
    <w:rsid w:val="00BC44D4"/>
    <w:rsid w:val="00BD3FF4"/>
    <w:rsid w:val="00BF0C14"/>
    <w:rsid w:val="00BF6B64"/>
    <w:rsid w:val="00C21753"/>
    <w:rsid w:val="00C25585"/>
    <w:rsid w:val="00C27A1D"/>
    <w:rsid w:val="00C30ABC"/>
    <w:rsid w:val="00C314E2"/>
    <w:rsid w:val="00C43903"/>
    <w:rsid w:val="00C53042"/>
    <w:rsid w:val="00C5793D"/>
    <w:rsid w:val="00C7438F"/>
    <w:rsid w:val="00C83947"/>
    <w:rsid w:val="00C857D1"/>
    <w:rsid w:val="00CB5ABC"/>
    <w:rsid w:val="00CC0999"/>
    <w:rsid w:val="00D00AD1"/>
    <w:rsid w:val="00D06750"/>
    <w:rsid w:val="00D11B42"/>
    <w:rsid w:val="00D24490"/>
    <w:rsid w:val="00D31033"/>
    <w:rsid w:val="00D326CD"/>
    <w:rsid w:val="00D36668"/>
    <w:rsid w:val="00D45FC9"/>
    <w:rsid w:val="00D479AF"/>
    <w:rsid w:val="00D534E8"/>
    <w:rsid w:val="00D56F49"/>
    <w:rsid w:val="00D644E3"/>
    <w:rsid w:val="00D667C4"/>
    <w:rsid w:val="00D73ABD"/>
    <w:rsid w:val="00D74DD1"/>
    <w:rsid w:val="00D81789"/>
    <w:rsid w:val="00D90171"/>
    <w:rsid w:val="00D914BE"/>
    <w:rsid w:val="00D9400A"/>
    <w:rsid w:val="00D95B97"/>
    <w:rsid w:val="00DD6850"/>
    <w:rsid w:val="00DE7D74"/>
    <w:rsid w:val="00E17406"/>
    <w:rsid w:val="00E37886"/>
    <w:rsid w:val="00E42424"/>
    <w:rsid w:val="00E471F6"/>
    <w:rsid w:val="00E527C6"/>
    <w:rsid w:val="00E56DEC"/>
    <w:rsid w:val="00E6267E"/>
    <w:rsid w:val="00E826E0"/>
    <w:rsid w:val="00E86005"/>
    <w:rsid w:val="00E97687"/>
    <w:rsid w:val="00EA07DB"/>
    <w:rsid w:val="00EA365F"/>
    <w:rsid w:val="00EB39FD"/>
    <w:rsid w:val="00EB7677"/>
    <w:rsid w:val="00EC1713"/>
    <w:rsid w:val="00EC42C4"/>
    <w:rsid w:val="00EC5FA3"/>
    <w:rsid w:val="00ED29E7"/>
    <w:rsid w:val="00ED5AB8"/>
    <w:rsid w:val="00ED6B65"/>
    <w:rsid w:val="00EE129A"/>
    <w:rsid w:val="00EF00F4"/>
    <w:rsid w:val="00EF3E20"/>
    <w:rsid w:val="00F010BF"/>
    <w:rsid w:val="00F11A58"/>
    <w:rsid w:val="00F133FD"/>
    <w:rsid w:val="00F14709"/>
    <w:rsid w:val="00F14EBD"/>
    <w:rsid w:val="00F201A8"/>
    <w:rsid w:val="00F24B81"/>
    <w:rsid w:val="00F26935"/>
    <w:rsid w:val="00F45550"/>
    <w:rsid w:val="00F502BA"/>
    <w:rsid w:val="00F566C6"/>
    <w:rsid w:val="00F66614"/>
    <w:rsid w:val="00F7272E"/>
    <w:rsid w:val="00F80523"/>
    <w:rsid w:val="00F81A55"/>
    <w:rsid w:val="00F8489F"/>
    <w:rsid w:val="00FA2325"/>
    <w:rsid w:val="00FA2B49"/>
    <w:rsid w:val="00FB6DC7"/>
    <w:rsid w:val="00FC7192"/>
    <w:rsid w:val="00FD191E"/>
    <w:rsid w:val="00FD6665"/>
    <w:rsid w:val="00FD7E8A"/>
    <w:rsid w:val="00FE0AC5"/>
    <w:rsid w:val="00FE0F53"/>
    <w:rsid w:val="00FE3934"/>
    <w:rsid w:val="00FE7CCA"/>
    <w:rsid w:val="00FF2E47"/>
    <w:rsid w:val="00FF6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6605"/>
  <w15:chartTrackingRefBased/>
  <w15:docId w15:val="{5957AF67-3A11-4AF8-AD8A-012D9F6A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9F1C95"/>
    <w:pPr>
      <w:spacing w:after="0" w:line="280" w:lineRule="atLeast"/>
    </w:pPr>
    <w:rPr>
      <w:rFonts w:ascii="Merriweather" w:hAnsi="Merriweather"/>
      <w:kern w:val="0"/>
      <w:sz w:val="17"/>
      <w:szCs w:val="20"/>
      <w:lang w:val="en-US"/>
      <w14:ligatures w14:val="none"/>
    </w:rPr>
  </w:style>
  <w:style w:type="paragraph" w:styleId="Kop1">
    <w:name w:val="heading 1"/>
    <w:basedOn w:val="Standaard"/>
    <w:next w:val="Standaard"/>
    <w:link w:val="Kop1Char"/>
    <w:uiPriority w:val="12"/>
    <w:unhideWhenUsed/>
    <w:qFormat/>
    <w:rsid w:val="0061587E"/>
    <w:pPr>
      <w:keepNext/>
      <w:keepLines/>
      <w:numPr>
        <w:numId w:val="5"/>
      </w:numPr>
      <w:spacing w:after="260"/>
      <w:outlineLvl w:val="0"/>
    </w:pPr>
    <w:rPr>
      <w:rFonts w:eastAsiaTheme="majorEastAsia" w:cstheme="majorBidi"/>
      <w:b/>
      <w:caps/>
      <w:szCs w:val="32"/>
      <w:lang w:val="nl-NL"/>
    </w:rPr>
  </w:style>
  <w:style w:type="paragraph" w:styleId="Kop2">
    <w:name w:val="heading 2"/>
    <w:basedOn w:val="Standaard"/>
    <w:next w:val="Standaard"/>
    <w:link w:val="Kop2Char"/>
    <w:uiPriority w:val="13"/>
    <w:unhideWhenUsed/>
    <w:qFormat/>
    <w:rsid w:val="0061587E"/>
    <w:pPr>
      <w:keepNext/>
      <w:keepLines/>
      <w:numPr>
        <w:ilvl w:val="1"/>
        <w:numId w:val="5"/>
      </w:numPr>
      <w:outlineLvl w:val="1"/>
    </w:pPr>
    <w:rPr>
      <w:rFonts w:eastAsiaTheme="majorEastAsia" w:cstheme="majorBidi"/>
      <w:b/>
      <w:szCs w:val="26"/>
      <w:lang w:val="nl-NL"/>
    </w:rPr>
  </w:style>
  <w:style w:type="paragraph" w:styleId="Kop3">
    <w:name w:val="heading 3"/>
    <w:basedOn w:val="Standaard"/>
    <w:next w:val="Standaard"/>
    <w:link w:val="Kop3Char"/>
    <w:uiPriority w:val="14"/>
    <w:unhideWhenUsed/>
    <w:qFormat/>
    <w:rsid w:val="0061587E"/>
    <w:pPr>
      <w:keepNext/>
      <w:keepLines/>
      <w:numPr>
        <w:ilvl w:val="2"/>
        <w:numId w:val="5"/>
      </w:numPr>
      <w:spacing w:before="40"/>
      <w:outlineLvl w:val="2"/>
    </w:pPr>
    <w:rPr>
      <w:rFonts w:eastAsiaTheme="majorEastAsia" w:cstheme="majorBidi"/>
      <w:szCs w:val="24"/>
      <w:lang w:val="nl-NL"/>
    </w:rPr>
  </w:style>
  <w:style w:type="paragraph" w:styleId="Kop4">
    <w:name w:val="heading 4"/>
    <w:basedOn w:val="Kop3"/>
    <w:next w:val="Standaard"/>
    <w:link w:val="Kop4Char"/>
    <w:uiPriority w:val="59"/>
    <w:unhideWhenUsed/>
    <w:qFormat/>
    <w:rsid w:val="0061587E"/>
    <w:pPr>
      <w:outlineLvl w:val="3"/>
    </w:pPr>
  </w:style>
  <w:style w:type="paragraph" w:styleId="Kop5">
    <w:name w:val="heading 5"/>
    <w:basedOn w:val="Standaard"/>
    <w:next w:val="Standaard"/>
    <w:link w:val="Kop5Char"/>
    <w:uiPriority w:val="59"/>
    <w:semiHidden/>
    <w:unhideWhenUsed/>
    <w:qFormat/>
    <w:rsid w:val="0061587E"/>
    <w:pPr>
      <w:keepNext/>
      <w:keepLines/>
      <w:spacing w:before="280" w:after="280"/>
      <w:outlineLvl w:val="4"/>
    </w:pPr>
    <w:rPr>
      <w:rFonts w:eastAsiaTheme="majorEastAsia" w:cstheme="majorBidi"/>
      <w:b/>
      <w:color w:val="091B14" w:themeColor="accent1" w:themeShade="BF"/>
    </w:rPr>
  </w:style>
  <w:style w:type="paragraph" w:styleId="Kop6">
    <w:name w:val="heading 6"/>
    <w:basedOn w:val="Standaard"/>
    <w:next w:val="Standaard"/>
    <w:link w:val="Kop6Char"/>
    <w:uiPriority w:val="59"/>
    <w:semiHidden/>
    <w:unhideWhenUsed/>
    <w:qFormat/>
    <w:rsid w:val="0061587E"/>
    <w:pPr>
      <w:keepNext/>
      <w:keepLines/>
      <w:spacing w:before="40"/>
      <w:outlineLvl w:val="5"/>
    </w:pPr>
    <w:rPr>
      <w:rFonts w:asciiTheme="majorHAnsi" w:eastAsiaTheme="majorEastAsia" w:hAnsiTheme="majorHAnsi" w:cstheme="majorBidi"/>
      <w:color w:val="06120D" w:themeColor="accent1" w:themeShade="7F"/>
    </w:rPr>
  </w:style>
  <w:style w:type="paragraph" w:styleId="Kop7">
    <w:name w:val="heading 7"/>
    <w:basedOn w:val="Standaard"/>
    <w:next w:val="Standaard"/>
    <w:link w:val="Kop7Char"/>
    <w:uiPriority w:val="59"/>
    <w:semiHidden/>
    <w:unhideWhenUsed/>
    <w:qFormat/>
    <w:rsid w:val="0061587E"/>
    <w:pPr>
      <w:keepNext/>
      <w:keepLines/>
      <w:spacing w:before="40"/>
      <w:outlineLvl w:val="6"/>
    </w:pPr>
    <w:rPr>
      <w:rFonts w:asciiTheme="majorHAnsi" w:eastAsiaTheme="majorEastAsia" w:hAnsiTheme="majorHAnsi" w:cstheme="majorBidi"/>
      <w:i/>
      <w:iCs/>
      <w:color w:val="06120D" w:themeColor="accent1" w:themeShade="7F"/>
    </w:rPr>
  </w:style>
  <w:style w:type="paragraph" w:styleId="Kop8">
    <w:name w:val="heading 8"/>
    <w:basedOn w:val="Standaard"/>
    <w:next w:val="Standaard"/>
    <w:link w:val="Kop8Char"/>
    <w:uiPriority w:val="59"/>
    <w:semiHidden/>
    <w:unhideWhenUsed/>
    <w:qFormat/>
    <w:rsid w:val="006158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6158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61587E"/>
    <w:rPr>
      <w:rFonts w:ascii="Merriweather" w:eastAsiaTheme="majorEastAsia" w:hAnsi="Merriweather" w:cstheme="majorBidi"/>
      <w:b/>
      <w:caps/>
      <w:kern w:val="0"/>
      <w:sz w:val="17"/>
      <w:szCs w:val="32"/>
      <w14:ligatures w14:val="none"/>
    </w:rPr>
  </w:style>
  <w:style w:type="character" w:customStyle="1" w:styleId="Kop2Char">
    <w:name w:val="Kop 2 Char"/>
    <w:basedOn w:val="Standaardalinea-lettertype"/>
    <w:link w:val="Kop2"/>
    <w:uiPriority w:val="13"/>
    <w:rsid w:val="0061587E"/>
    <w:rPr>
      <w:rFonts w:ascii="Merriweather" w:eastAsiaTheme="majorEastAsia" w:hAnsi="Merriweather" w:cstheme="majorBidi"/>
      <w:b/>
      <w:kern w:val="0"/>
      <w:sz w:val="17"/>
      <w:szCs w:val="26"/>
      <w14:ligatures w14:val="none"/>
    </w:rPr>
  </w:style>
  <w:style w:type="character" w:customStyle="1" w:styleId="Kop3Char">
    <w:name w:val="Kop 3 Char"/>
    <w:basedOn w:val="Standaardalinea-lettertype"/>
    <w:link w:val="Kop3"/>
    <w:uiPriority w:val="14"/>
    <w:rsid w:val="0061587E"/>
    <w:rPr>
      <w:rFonts w:ascii="Merriweather" w:eastAsiaTheme="majorEastAsia" w:hAnsi="Merriweather" w:cstheme="majorBidi"/>
      <w:kern w:val="0"/>
      <w:sz w:val="17"/>
      <w14:ligatures w14:val="none"/>
    </w:rPr>
  </w:style>
  <w:style w:type="character" w:customStyle="1" w:styleId="Kop4Char">
    <w:name w:val="Kop 4 Char"/>
    <w:basedOn w:val="Standaardalinea-lettertype"/>
    <w:link w:val="Kop4"/>
    <w:uiPriority w:val="59"/>
    <w:rsid w:val="0061587E"/>
    <w:rPr>
      <w:rFonts w:ascii="Merriweather" w:eastAsiaTheme="majorEastAsia" w:hAnsi="Merriweather" w:cstheme="majorBidi"/>
      <w:kern w:val="0"/>
      <w:sz w:val="17"/>
      <w14:ligatures w14:val="none"/>
    </w:rPr>
  </w:style>
  <w:style w:type="character" w:customStyle="1" w:styleId="Kop5Char">
    <w:name w:val="Kop 5 Char"/>
    <w:basedOn w:val="Standaardalinea-lettertype"/>
    <w:link w:val="Kop5"/>
    <w:uiPriority w:val="59"/>
    <w:semiHidden/>
    <w:rsid w:val="0061587E"/>
    <w:rPr>
      <w:rFonts w:ascii="Merriweather" w:eastAsiaTheme="majorEastAsia" w:hAnsi="Merriweather" w:cstheme="majorBidi"/>
      <w:b/>
      <w:color w:val="091B14" w:themeColor="accent1" w:themeShade="BF"/>
      <w:kern w:val="0"/>
      <w:sz w:val="17"/>
      <w:szCs w:val="20"/>
      <w:lang w:val="en-US"/>
      <w14:ligatures w14:val="none"/>
    </w:rPr>
  </w:style>
  <w:style w:type="character" w:customStyle="1" w:styleId="Kop6Char">
    <w:name w:val="Kop 6 Char"/>
    <w:basedOn w:val="Standaardalinea-lettertype"/>
    <w:link w:val="Kop6"/>
    <w:uiPriority w:val="59"/>
    <w:semiHidden/>
    <w:rsid w:val="0061587E"/>
    <w:rPr>
      <w:rFonts w:asciiTheme="majorHAnsi" w:eastAsiaTheme="majorEastAsia" w:hAnsiTheme="majorHAnsi" w:cstheme="majorBidi"/>
      <w:color w:val="06120D" w:themeColor="accent1" w:themeShade="7F"/>
      <w:kern w:val="0"/>
      <w:sz w:val="17"/>
      <w:szCs w:val="20"/>
      <w:lang w:val="en-US"/>
      <w14:ligatures w14:val="none"/>
    </w:rPr>
  </w:style>
  <w:style w:type="character" w:customStyle="1" w:styleId="Kop7Char">
    <w:name w:val="Kop 7 Char"/>
    <w:basedOn w:val="Standaardalinea-lettertype"/>
    <w:link w:val="Kop7"/>
    <w:uiPriority w:val="59"/>
    <w:semiHidden/>
    <w:rsid w:val="0061587E"/>
    <w:rPr>
      <w:rFonts w:asciiTheme="majorHAnsi" w:eastAsiaTheme="majorEastAsia" w:hAnsiTheme="majorHAnsi" w:cstheme="majorBidi"/>
      <w:i/>
      <w:iCs/>
      <w:color w:val="06120D" w:themeColor="accent1" w:themeShade="7F"/>
      <w:kern w:val="0"/>
      <w:sz w:val="17"/>
      <w:szCs w:val="20"/>
      <w:lang w:val="en-US"/>
      <w14:ligatures w14:val="none"/>
    </w:rPr>
  </w:style>
  <w:style w:type="character" w:customStyle="1" w:styleId="Kop8Char">
    <w:name w:val="Kop 8 Char"/>
    <w:basedOn w:val="Standaardalinea-lettertype"/>
    <w:link w:val="Kop8"/>
    <w:uiPriority w:val="59"/>
    <w:semiHidden/>
    <w:rsid w:val="0061587E"/>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Kop9Char">
    <w:name w:val="Kop 9 Char"/>
    <w:basedOn w:val="Standaardalinea-lettertype"/>
    <w:link w:val="Kop9"/>
    <w:uiPriority w:val="59"/>
    <w:semiHidden/>
    <w:rsid w:val="0061587E"/>
    <w:rPr>
      <w:rFonts w:asciiTheme="majorHAnsi" w:eastAsiaTheme="majorEastAsia" w:hAnsiTheme="majorHAnsi" w:cstheme="majorBidi"/>
      <w:i/>
      <w:iCs/>
      <w:color w:val="272727" w:themeColor="text1" w:themeTint="D8"/>
      <w:kern w:val="0"/>
      <w:sz w:val="21"/>
      <w:szCs w:val="21"/>
      <w:lang w:val="en-US"/>
      <w14:ligatures w14:val="none"/>
    </w:rPr>
  </w:style>
  <w:style w:type="paragraph" w:styleId="Titel">
    <w:name w:val="Title"/>
    <w:basedOn w:val="Standaard"/>
    <w:next w:val="Standaard"/>
    <w:link w:val="TitelChar"/>
    <w:uiPriority w:val="59"/>
    <w:qFormat/>
    <w:rsid w:val="0061587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61587E"/>
    <w:rPr>
      <w:rFonts w:asciiTheme="majorHAnsi" w:eastAsiaTheme="majorEastAsia" w:hAnsiTheme="majorHAnsi" w:cstheme="majorBidi"/>
      <w:spacing w:val="-10"/>
      <w:kern w:val="28"/>
      <w:sz w:val="56"/>
      <w:szCs w:val="56"/>
      <w:lang w:val="en-US"/>
      <w14:ligatures w14:val="none"/>
    </w:rPr>
  </w:style>
  <w:style w:type="paragraph" w:styleId="Ondertitel">
    <w:name w:val="Subtitle"/>
    <w:basedOn w:val="Standaard"/>
    <w:next w:val="Standaard"/>
    <w:link w:val="OndertitelChar"/>
    <w:uiPriority w:val="59"/>
    <w:qFormat/>
    <w:rsid w:val="0061587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61587E"/>
    <w:rPr>
      <w:rFonts w:ascii="Merriweather" w:eastAsiaTheme="minorEastAsia" w:hAnsi="Merriweather"/>
      <w:color w:val="5A5A5A" w:themeColor="text1" w:themeTint="A5"/>
      <w:spacing w:val="15"/>
      <w:kern w:val="0"/>
      <w:sz w:val="22"/>
      <w:szCs w:val="22"/>
      <w:lang w:val="en-US"/>
      <w14:ligatures w14:val="none"/>
    </w:rPr>
  </w:style>
  <w:style w:type="paragraph" w:styleId="Citaat">
    <w:name w:val="Quote"/>
    <w:basedOn w:val="Standaard"/>
    <w:next w:val="Standaard"/>
    <w:link w:val="CitaatChar"/>
    <w:uiPriority w:val="25"/>
    <w:unhideWhenUsed/>
    <w:qFormat/>
    <w:rsid w:val="0061587E"/>
    <w:pPr>
      <w:spacing w:after="260"/>
      <w:ind w:left="1418" w:right="1418"/>
    </w:pPr>
    <w:rPr>
      <w:i/>
      <w:iCs/>
    </w:rPr>
  </w:style>
  <w:style w:type="character" w:customStyle="1" w:styleId="CitaatChar">
    <w:name w:val="Citaat Char"/>
    <w:basedOn w:val="Standaardalinea-lettertype"/>
    <w:link w:val="Citaat"/>
    <w:uiPriority w:val="25"/>
    <w:rsid w:val="0061587E"/>
    <w:rPr>
      <w:rFonts w:ascii="Merriweather" w:hAnsi="Merriweather"/>
      <w:i/>
      <w:iCs/>
      <w:kern w:val="0"/>
      <w:sz w:val="17"/>
      <w:szCs w:val="20"/>
      <w:lang w:val="en-US"/>
      <w14:ligatures w14:val="none"/>
    </w:rPr>
  </w:style>
  <w:style w:type="paragraph" w:styleId="Lijstalinea">
    <w:name w:val="List Paragraph"/>
    <w:basedOn w:val="Standaard"/>
    <w:uiPriority w:val="59"/>
    <w:qFormat/>
    <w:rsid w:val="0061587E"/>
    <w:pPr>
      <w:ind w:left="720"/>
      <w:contextualSpacing/>
    </w:pPr>
  </w:style>
  <w:style w:type="character" w:styleId="Intensievebenadrukking">
    <w:name w:val="Intense Emphasis"/>
    <w:basedOn w:val="Standaardalinea-lettertype"/>
    <w:uiPriority w:val="59"/>
    <w:qFormat/>
    <w:rsid w:val="0061587E"/>
    <w:rPr>
      <w:i/>
      <w:iCs/>
      <w:color w:val="0C251B" w:themeColor="accent1"/>
    </w:rPr>
  </w:style>
  <w:style w:type="paragraph" w:styleId="Duidelijkcitaat">
    <w:name w:val="Intense Quote"/>
    <w:basedOn w:val="Standaard"/>
    <w:next w:val="Standaard"/>
    <w:link w:val="DuidelijkcitaatChar"/>
    <w:uiPriority w:val="59"/>
    <w:qFormat/>
    <w:rsid w:val="0061587E"/>
    <w:pPr>
      <w:pBdr>
        <w:top w:val="single" w:sz="4" w:space="10" w:color="0C251B" w:themeColor="accent1"/>
        <w:bottom w:val="single" w:sz="4" w:space="10" w:color="0C251B" w:themeColor="accent1"/>
      </w:pBdr>
      <w:spacing w:before="360" w:after="360"/>
      <w:ind w:left="864" w:right="864"/>
      <w:jc w:val="center"/>
    </w:pPr>
    <w:rPr>
      <w:i/>
      <w:iCs/>
      <w:color w:val="0C251B" w:themeColor="accent1"/>
    </w:rPr>
  </w:style>
  <w:style w:type="character" w:customStyle="1" w:styleId="DuidelijkcitaatChar">
    <w:name w:val="Duidelijk citaat Char"/>
    <w:basedOn w:val="Standaardalinea-lettertype"/>
    <w:link w:val="Duidelijkcitaat"/>
    <w:uiPriority w:val="59"/>
    <w:rsid w:val="0061587E"/>
    <w:rPr>
      <w:rFonts w:ascii="Merriweather" w:hAnsi="Merriweather"/>
      <w:i/>
      <w:iCs/>
      <w:color w:val="0C251B" w:themeColor="accent1"/>
      <w:kern w:val="0"/>
      <w:sz w:val="17"/>
      <w:szCs w:val="20"/>
      <w:lang w:val="en-US"/>
      <w14:ligatures w14:val="none"/>
    </w:rPr>
  </w:style>
  <w:style w:type="character" w:styleId="Intensieveverwijzing">
    <w:name w:val="Intense Reference"/>
    <w:basedOn w:val="Standaardalinea-lettertype"/>
    <w:uiPriority w:val="59"/>
    <w:qFormat/>
    <w:rsid w:val="0061587E"/>
    <w:rPr>
      <w:b/>
      <w:bCs/>
      <w:smallCaps/>
      <w:color w:val="0C251B" w:themeColor="accent1"/>
      <w:spacing w:val="5"/>
    </w:rPr>
  </w:style>
  <w:style w:type="paragraph" w:styleId="Macrotekst">
    <w:name w:val="macro"/>
    <w:link w:val="MacrotekstChar"/>
    <w:uiPriority w:val="59"/>
    <w:semiHidden/>
    <w:rsid w:val="0061587E"/>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kern w:val="0"/>
      <w:sz w:val="20"/>
      <w:szCs w:val="20"/>
      <w:lang w:eastAsia="nl-NL"/>
      <w14:ligatures w14:val="none"/>
    </w:rPr>
  </w:style>
  <w:style w:type="character" w:customStyle="1" w:styleId="MacrotekstChar">
    <w:name w:val="Macrotekst Char"/>
    <w:basedOn w:val="Standaardalinea-lettertype"/>
    <w:link w:val="Macrotekst"/>
    <w:uiPriority w:val="59"/>
    <w:semiHidden/>
    <w:rsid w:val="0061587E"/>
    <w:rPr>
      <w:rFonts w:ascii="Consolas" w:eastAsia="Times New Roman" w:hAnsi="Consolas" w:cs="Times New Roman"/>
      <w:kern w:val="0"/>
      <w:sz w:val="20"/>
      <w:szCs w:val="20"/>
      <w:lang w:eastAsia="nl-NL"/>
      <w14:ligatures w14:val="none"/>
    </w:rPr>
  </w:style>
  <w:style w:type="paragraph" w:customStyle="1" w:styleId="doColofon">
    <w:name w:val="doColofon"/>
    <w:basedOn w:val="Standaard"/>
    <w:uiPriority w:val="59"/>
    <w:semiHidden/>
    <w:qFormat/>
    <w:rsid w:val="0061587E"/>
    <w:pPr>
      <w:jc w:val="right"/>
    </w:pPr>
    <w:rPr>
      <w:color w:val="4D4D4D"/>
      <w:spacing w:val="6"/>
    </w:rPr>
  </w:style>
  <w:style w:type="table" w:styleId="Tabelraster">
    <w:name w:val="Table Grid"/>
    <w:basedOn w:val="Standaardtabel"/>
    <w:uiPriority w:val="59"/>
    <w:rsid w:val="0061587E"/>
    <w:pPr>
      <w:spacing w:after="0" w:line="240"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61587E"/>
    <w:pPr>
      <w:spacing w:after="0" w:line="252" w:lineRule="auto"/>
    </w:pPr>
    <w:rPr>
      <w:rFonts w:ascii="Merriweather" w:hAnsi="Merriweather"/>
      <w:kern w:val="0"/>
      <w:sz w:val="17"/>
      <w:szCs w:val="20"/>
      <w:lang w:val="en-US"/>
      <w14:ligatures w14:val="none"/>
    </w:rPr>
    <w:tblPr>
      <w:tblCellMar>
        <w:left w:w="0" w:type="dxa"/>
        <w:right w:w="0" w:type="dxa"/>
      </w:tblCellMar>
    </w:tblPr>
  </w:style>
  <w:style w:type="paragraph" w:customStyle="1" w:styleId="doVerzendoptie">
    <w:name w:val="doVerzendoptie"/>
    <w:basedOn w:val="Standaard"/>
    <w:next w:val="Standaard"/>
    <w:uiPriority w:val="59"/>
    <w:semiHidden/>
    <w:qFormat/>
    <w:rsid w:val="0061587E"/>
    <w:pPr>
      <w:spacing w:after="260"/>
    </w:pPr>
    <w:rPr>
      <w:b/>
      <w:caps/>
    </w:rPr>
  </w:style>
  <w:style w:type="paragraph" w:styleId="Koptekst">
    <w:name w:val="header"/>
    <w:basedOn w:val="Standaard"/>
    <w:link w:val="KoptekstChar"/>
    <w:uiPriority w:val="59"/>
    <w:unhideWhenUsed/>
    <w:rsid w:val="0061587E"/>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61587E"/>
    <w:rPr>
      <w:rFonts w:ascii="Merriweather" w:hAnsi="Merriweather"/>
      <w:kern w:val="0"/>
      <w:sz w:val="16"/>
      <w:szCs w:val="20"/>
      <w:lang w:val="en-US"/>
      <w14:ligatures w14:val="none"/>
    </w:rPr>
  </w:style>
  <w:style w:type="paragraph" w:styleId="Voettekst">
    <w:name w:val="footer"/>
    <w:basedOn w:val="Standaard"/>
    <w:link w:val="VoettekstChar"/>
    <w:uiPriority w:val="59"/>
    <w:unhideWhenUsed/>
    <w:rsid w:val="0061587E"/>
    <w:pPr>
      <w:tabs>
        <w:tab w:val="center" w:pos="4680"/>
        <w:tab w:val="right" w:pos="9360"/>
      </w:tabs>
      <w:spacing w:line="240" w:lineRule="auto"/>
    </w:pPr>
    <w:rPr>
      <w:sz w:val="11"/>
    </w:rPr>
  </w:style>
  <w:style w:type="character" w:customStyle="1" w:styleId="VoettekstChar">
    <w:name w:val="Voettekst Char"/>
    <w:basedOn w:val="Standaardalinea-lettertype"/>
    <w:link w:val="Voettekst"/>
    <w:uiPriority w:val="59"/>
    <w:rsid w:val="0061587E"/>
    <w:rPr>
      <w:rFonts w:ascii="Merriweather" w:hAnsi="Merriweather"/>
      <w:kern w:val="0"/>
      <w:sz w:val="11"/>
      <w:szCs w:val="20"/>
      <w:lang w:val="en-US"/>
      <w14:ligatures w14:val="none"/>
    </w:rPr>
  </w:style>
  <w:style w:type="paragraph" w:customStyle="1" w:styleId="doFooter">
    <w:name w:val="doFooter"/>
    <w:basedOn w:val="Standaard"/>
    <w:uiPriority w:val="59"/>
    <w:semiHidden/>
    <w:qFormat/>
    <w:rsid w:val="0061587E"/>
    <w:pPr>
      <w:spacing w:line="240" w:lineRule="auto"/>
      <w:jc w:val="both"/>
    </w:pPr>
    <w:rPr>
      <w:spacing w:val="6"/>
      <w:sz w:val="14"/>
    </w:rPr>
  </w:style>
  <w:style w:type="paragraph" w:customStyle="1" w:styleId="Alineanummering1">
    <w:name w:val="Alineanummering 1"/>
    <w:basedOn w:val="Standaard"/>
    <w:uiPriority w:val="16"/>
    <w:unhideWhenUsed/>
    <w:qFormat/>
    <w:rsid w:val="0061587E"/>
    <w:pPr>
      <w:numPr>
        <w:numId w:val="8"/>
      </w:numPr>
      <w:spacing w:after="260"/>
    </w:pPr>
    <w:rPr>
      <w:b/>
    </w:rPr>
  </w:style>
  <w:style w:type="paragraph" w:customStyle="1" w:styleId="Alineanummering2">
    <w:name w:val="Alineanummering 2"/>
    <w:basedOn w:val="Standaard"/>
    <w:uiPriority w:val="17"/>
    <w:unhideWhenUsed/>
    <w:qFormat/>
    <w:rsid w:val="0061587E"/>
    <w:pPr>
      <w:numPr>
        <w:ilvl w:val="1"/>
        <w:numId w:val="8"/>
      </w:numPr>
      <w:spacing w:after="260"/>
    </w:pPr>
  </w:style>
  <w:style w:type="paragraph" w:customStyle="1" w:styleId="Alineanummering3">
    <w:name w:val="Alineanummering 3"/>
    <w:basedOn w:val="Standaard"/>
    <w:uiPriority w:val="18"/>
    <w:unhideWhenUsed/>
    <w:qFormat/>
    <w:rsid w:val="0061587E"/>
    <w:pPr>
      <w:numPr>
        <w:ilvl w:val="2"/>
        <w:numId w:val="8"/>
      </w:numPr>
      <w:spacing w:after="260"/>
    </w:pPr>
  </w:style>
  <w:style w:type="paragraph" w:customStyle="1" w:styleId="Alineanummering4">
    <w:name w:val="Alineanummering 4"/>
    <w:basedOn w:val="Standaard"/>
    <w:uiPriority w:val="19"/>
    <w:unhideWhenUsed/>
    <w:qFormat/>
    <w:rsid w:val="0061587E"/>
    <w:pPr>
      <w:numPr>
        <w:ilvl w:val="3"/>
        <w:numId w:val="8"/>
      </w:numPr>
      <w:spacing w:after="260"/>
    </w:pPr>
  </w:style>
  <w:style w:type="paragraph" w:customStyle="1" w:styleId="NB">
    <w:name w:val="NB"/>
    <w:basedOn w:val="Standaard"/>
    <w:next w:val="Standaard"/>
    <w:uiPriority w:val="27"/>
    <w:unhideWhenUsed/>
    <w:qFormat/>
    <w:rsid w:val="0061587E"/>
    <w:pPr>
      <w:spacing w:after="260"/>
      <w:ind w:left="709" w:hanging="709"/>
    </w:pPr>
  </w:style>
  <w:style w:type="paragraph" w:styleId="Standaardinspringing">
    <w:name w:val="Normal Indent"/>
    <w:basedOn w:val="Standaard"/>
    <w:uiPriority w:val="11"/>
    <w:unhideWhenUsed/>
    <w:rsid w:val="0061587E"/>
    <w:pPr>
      <w:spacing w:after="260"/>
      <w:ind w:left="1021"/>
    </w:pPr>
  </w:style>
  <w:style w:type="paragraph" w:customStyle="1" w:styleId="Nummering">
    <w:name w:val="Nummering"/>
    <w:basedOn w:val="Standaard"/>
    <w:uiPriority w:val="21"/>
    <w:unhideWhenUsed/>
    <w:rsid w:val="0061587E"/>
    <w:pPr>
      <w:numPr>
        <w:numId w:val="10"/>
      </w:numPr>
      <w:tabs>
        <w:tab w:val="clear" w:pos="425"/>
      </w:tabs>
    </w:pPr>
    <w:rPr>
      <w:rFonts w:eastAsia="Times New Roman" w:cs="Times New Roman"/>
      <w:lang w:val="nl-NL" w:eastAsia="nl-NL"/>
    </w:rPr>
  </w:style>
  <w:style w:type="paragraph" w:customStyle="1" w:styleId="Nummering2">
    <w:name w:val="Nummering2"/>
    <w:basedOn w:val="Standaard"/>
    <w:uiPriority w:val="22"/>
    <w:unhideWhenUsed/>
    <w:rsid w:val="0061587E"/>
    <w:pPr>
      <w:numPr>
        <w:numId w:val="11"/>
      </w:numPr>
      <w:tabs>
        <w:tab w:val="clear" w:pos="425"/>
      </w:tabs>
    </w:pPr>
    <w:rPr>
      <w:rFonts w:eastAsia="Times New Roman" w:cs="Times New Roman"/>
      <w:lang w:val="nl-NL" w:eastAsia="nl-NL"/>
    </w:rPr>
  </w:style>
  <w:style w:type="paragraph" w:customStyle="1" w:styleId="Opsommingsteken">
    <w:name w:val="Opsommingsteken"/>
    <w:basedOn w:val="Standaard"/>
    <w:uiPriority w:val="23"/>
    <w:unhideWhenUsed/>
    <w:rsid w:val="0061587E"/>
    <w:pPr>
      <w:numPr>
        <w:numId w:val="12"/>
      </w:numPr>
      <w:tabs>
        <w:tab w:val="clear" w:pos="425"/>
      </w:tabs>
    </w:pPr>
    <w:rPr>
      <w:rFonts w:eastAsia="Times New Roman" w:cs="Times New Roman"/>
      <w:lang w:val="nl-NL" w:eastAsia="nl-NL"/>
    </w:rPr>
  </w:style>
  <w:style w:type="paragraph" w:customStyle="1" w:styleId="Opsommingsteken2">
    <w:name w:val="Opsommingsteken2"/>
    <w:basedOn w:val="Standaard"/>
    <w:uiPriority w:val="24"/>
    <w:unhideWhenUsed/>
    <w:rsid w:val="0061587E"/>
    <w:pPr>
      <w:numPr>
        <w:numId w:val="13"/>
      </w:numPr>
      <w:tabs>
        <w:tab w:val="clear" w:pos="425"/>
      </w:tabs>
    </w:pPr>
    <w:rPr>
      <w:rFonts w:eastAsia="Times New Roman" w:cs="Times New Roman"/>
      <w:lang w:val="nl-NL" w:eastAsia="nl-NL"/>
    </w:rPr>
  </w:style>
  <w:style w:type="character" w:styleId="Paginanummer">
    <w:name w:val="page number"/>
    <w:basedOn w:val="Standaardalinea-lettertype"/>
    <w:uiPriority w:val="59"/>
    <w:semiHidden/>
    <w:unhideWhenUsed/>
    <w:rsid w:val="0061587E"/>
    <w:rPr>
      <w:sz w:val="16"/>
    </w:rPr>
  </w:style>
  <w:style w:type="numbering" w:styleId="111111">
    <w:name w:val="Outline List 2"/>
    <w:basedOn w:val="Geenlijst"/>
    <w:uiPriority w:val="59"/>
    <w:semiHidden/>
    <w:unhideWhenUsed/>
    <w:rsid w:val="0061587E"/>
    <w:pPr>
      <w:numPr>
        <w:numId w:val="15"/>
      </w:numPr>
    </w:pPr>
  </w:style>
  <w:style w:type="numbering" w:styleId="1ai">
    <w:name w:val="Outline List 1"/>
    <w:basedOn w:val="Geenlijst"/>
    <w:uiPriority w:val="59"/>
    <w:semiHidden/>
    <w:unhideWhenUsed/>
    <w:rsid w:val="0061587E"/>
    <w:pPr>
      <w:numPr>
        <w:numId w:val="16"/>
      </w:numPr>
    </w:pPr>
  </w:style>
  <w:style w:type="table" w:styleId="3D-effectenvoortabel1">
    <w:name w:val="Table 3D effects 1"/>
    <w:basedOn w:val="Standaardtabel"/>
    <w:uiPriority w:val="59"/>
    <w:semiHidden/>
    <w:unhideWhenUsed/>
    <w:rsid w:val="0061587E"/>
    <w:pPr>
      <w:spacing w:after="0" w:line="252" w:lineRule="auto"/>
    </w:pPr>
    <w:rPr>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61587E"/>
    <w:pPr>
      <w:spacing w:after="0" w:line="252" w:lineRule="auto"/>
    </w:pPr>
    <w:rPr>
      <w:kern w:val="0"/>
      <w:sz w:val="20"/>
      <w:szCs w:val="20"/>
      <w:lang w:val="en-US"/>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61587E"/>
    <w:pPr>
      <w:spacing w:after="0" w:line="252" w:lineRule="auto"/>
    </w:pPr>
    <w:rPr>
      <w:kern w:val="0"/>
      <w:sz w:val="20"/>
      <w:szCs w:val="20"/>
      <w:lang w:val="en-US"/>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61587E"/>
  </w:style>
  <w:style w:type="character" w:customStyle="1" w:styleId="AanhefChar">
    <w:name w:val="Aanhef Char"/>
    <w:basedOn w:val="Standaardalinea-lettertype"/>
    <w:link w:val="Aanhef"/>
    <w:uiPriority w:val="59"/>
    <w:semiHidden/>
    <w:rsid w:val="0061587E"/>
    <w:rPr>
      <w:rFonts w:ascii="Merriweather" w:hAnsi="Merriweather"/>
      <w:kern w:val="0"/>
      <w:sz w:val="17"/>
      <w:szCs w:val="20"/>
      <w:lang w:val="en-US"/>
      <w14:ligatures w14:val="none"/>
    </w:rPr>
  </w:style>
  <w:style w:type="paragraph" w:styleId="Adresenvelop">
    <w:name w:val="envelope address"/>
    <w:basedOn w:val="Standaard"/>
    <w:uiPriority w:val="59"/>
    <w:semiHidden/>
    <w:unhideWhenUsed/>
    <w:rsid w:val="0061587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61587E"/>
    <w:pPr>
      <w:spacing w:line="240" w:lineRule="auto"/>
      <w:ind w:left="4252"/>
    </w:pPr>
  </w:style>
  <w:style w:type="character" w:customStyle="1" w:styleId="AfsluitingChar">
    <w:name w:val="Afsluiting Char"/>
    <w:basedOn w:val="Standaardalinea-lettertype"/>
    <w:link w:val="Afsluiting"/>
    <w:uiPriority w:val="59"/>
    <w:semiHidden/>
    <w:rsid w:val="0061587E"/>
    <w:rPr>
      <w:rFonts w:ascii="Merriweather" w:hAnsi="Merriweather"/>
      <w:kern w:val="0"/>
      <w:sz w:val="17"/>
      <w:szCs w:val="20"/>
      <w:lang w:val="en-US"/>
      <w14:ligatures w14:val="none"/>
    </w:rPr>
  </w:style>
  <w:style w:type="paragraph" w:styleId="Afzender">
    <w:name w:val="envelope return"/>
    <w:basedOn w:val="Standaard"/>
    <w:uiPriority w:val="59"/>
    <w:semiHidden/>
    <w:unhideWhenUsed/>
    <w:rsid w:val="0061587E"/>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61587E"/>
    <w:pPr>
      <w:numPr>
        <w:numId w:val="17"/>
      </w:numPr>
    </w:pPr>
  </w:style>
  <w:style w:type="paragraph" w:styleId="Ballontekst">
    <w:name w:val="Balloon Text"/>
    <w:basedOn w:val="Standaard"/>
    <w:link w:val="BallontekstChar"/>
    <w:uiPriority w:val="59"/>
    <w:semiHidden/>
    <w:unhideWhenUsed/>
    <w:rsid w:val="0061587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61587E"/>
    <w:rPr>
      <w:rFonts w:ascii="Segoe UI" w:hAnsi="Segoe UI" w:cs="Segoe UI"/>
      <w:kern w:val="0"/>
      <w:sz w:val="18"/>
      <w:szCs w:val="18"/>
      <w:lang w:val="en-US"/>
      <w14:ligatures w14:val="none"/>
    </w:rPr>
  </w:style>
  <w:style w:type="paragraph" w:styleId="Berichtkop">
    <w:name w:val="Message Header"/>
    <w:basedOn w:val="Standaard"/>
    <w:link w:val="BerichtkopChar"/>
    <w:uiPriority w:val="59"/>
    <w:semiHidden/>
    <w:unhideWhenUsed/>
    <w:rsid w:val="0061587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61587E"/>
    <w:rPr>
      <w:rFonts w:asciiTheme="majorHAnsi" w:eastAsiaTheme="majorEastAsia" w:hAnsiTheme="majorHAnsi" w:cstheme="majorBidi"/>
      <w:kern w:val="0"/>
      <w:shd w:val="pct20" w:color="auto" w:fill="auto"/>
      <w:lang w:val="en-US"/>
      <w14:ligatures w14:val="none"/>
    </w:rPr>
  </w:style>
  <w:style w:type="paragraph" w:styleId="Bibliografie">
    <w:name w:val="Bibliography"/>
    <w:basedOn w:val="Standaard"/>
    <w:next w:val="Standaard"/>
    <w:uiPriority w:val="59"/>
    <w:semiHidden/>
    <w:unhideWhenUsed/>
    <w:rsid w:val="0061587E"/>
  </w:style>
  <w:style w:type="paragraph" w:styleId="Bijschrift">
    <w:name w:val="caption"/>
    <w:basedOn w:val="Standaard"/>
    <w:next w:val="Standaard"/>
    <w:uiPriority w:val="59"/>
    <w:semiHidden/>
    <w:unhideWhenUsed/>
    <w:qFormat/>
    <w:rsid w:val="0061587E"/>
    <w:pPr>
      <w:spacing w:after="200" w:line="240" w:lineRule="auto"/>
    </w:pPr>
    <w:rPr>
      <w:i/>
      <w:iCs/>
      <w:color w:val="0C251B" w:themeColor="text2"/>
      <w:sz w:val="18"/>
      <w:szCs w:val="18"/>
    </w:rPr>
  </w:style>
  <w:style w:type="paragraph" w:styleId="Bloktekst">
    <w:name w:val="Block Text"/>
    <w:basedOn w:val="Standaard"/>
    <w:uiPriority w:val="59"/>
    <w:semiHidden/>
    <w:unhideWhenUsed/>
    <w:rsid w:val="0061587E"/>
    <w:pPr>
      <w:pBdr>
        <w:top w:val="single" w:sz="2" w:space="10" w:color="0C251B" w:themeColor="accent1" w:shadow="1"/>
        <w:left w:val="single" w:sz="2" w:space="10" w:color="0C251B" w:themeColor="accent1" w:shadow="1"/>
        <w:bottom w:val="single" w:sz="2" w:space="10" w:color="0C251B" w:themeColor="accent1" w:shadow="1"/>
        <w:right w:val="single" w:sz="2" w:space="10" w:color="0C251B" w:themeColor="accent1" w:shadow="1"/>
      </w:pBdr>
      <w:ind w:left="1152" w:right="1152"/>
    </w:pPr>
    <w:rPr>
      <w:rFonts w:eastAsiaTheme="minorEastAsia"/>
      <w:i/>
      <w:iCs/>
      <w:color w:val="0C251B" w:themeColor="accent1"/>
    </w:rPr>
  </w:style>
  <w:style w:type="paragraph" w:styleId="Bronvermelding">
    <w:name w:val="table of authorities"/>
    <w:basedOn w:val="Standaard"/>
    <w:next w:val="Standaard"/>
    <w:uiPriority w:val="59"/>
    <w:semiHidden/>
    <w:unhideWhenUsed/>
    <w:rsid w:val="0061587E"/>
    <w:pPr>
      <w:ind w:left="200" w:hanging="200"/>
    </w:pPr>
  </w:style>
  <w:style w:type="paragraph" w:styleId="Datum">
    <w:name w:val="Date"/>
    <w:basedOn w:val="Standaard"/>
    <w:next w:val="Standaard"/>
    <w:link w:val="DatumChar"/>
    <w:uiPriority w:val="59"/>
    <w:semiHidden/>
    <w:unhideWhenUsed/>
    <w:rsid w:val="0061587E"/>
  </w:style>
  <w:style w:type="character" w:customStyle="1" w:styleId="DatumChar">
    <w:name w:val="Datum Char"/>
    <w:basedOn w:val="Standaardalinea-lettertype"/>
    <w:link w:val="Datum"/>
    <w:uiPriority w:val="59"/>
    <w:semiHidden/>
    <w:rsid w:val="0061587E"/>
    <w:rPr>
      <w:rFonts w:ascii="Merriweather" w:hAnsi="Merriweather"/>
      <w:kern w:val="0"/>
      <w:sz w:val="17"/>
      <w:szCs w:val="20"/>
      <w:lang w:val="en-US"/>
      <w14:ligatures w14:val="none"/>
    </w:rPr>
  </w:style>
  <w:style w:type="paragraph" w:styleId="Documentstructuur">
    <w:name w:val="Document Map"/>
    <w:basedOn w:val="Standaard"/>
    <w:link w:val="DocumentstructuurChar"/>
    <w:uiPriority w:val="59"/>
    <w:semiHidden/>
    <w:unhideWhenUsed/>
    <w:rsid w:val="0061587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61587E"/>
    <w:rPr>
      <w:rFonts w:ascii="Segoe UI" w:hAnsi="Segoe UI" w:cs="Segoe UI"/>
      <w:kern w:val="0"/>
      <w:sz w:val="16"/>
      <w:szCs w:val="16"/>
      <w:lang w:val="en-US"/>
      <w14:ligatures w14:val="none"/>
    </w:rPr>
  </w:style>
  <w:style w:type="table" w:styleId="Donkerelijst">
    <w:name w:val="Dark List"/>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C251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12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B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B14" w:themeFill="accent1" w:themeFillShade="BF"/>
      </w:tcPr>
    </w:tblStylePr>
    <w:tblStylePr w:type="band1Vert">
      <w:tblPr/>
      <w:tcPr>
        <w:tcBorders>
          <w:top w:val="nil"/>
          <w:left w:val="nil"/>
          <w:bottom w:val="nil"/>
          <w:right w:val="nil"/>
          <w:insideH w:val="nil"/>
          <w:insideV w:val="nil"/>
        </w:tcBorders>
        <w:shd w:val="clear" w:color="auto" w:fill="091B14" w:themeFill="accent1" w:themeFillShade="BF"/>
      </w:tcPr>
    </w:tblStylePr>
    <w:tblStylePr w:type="band1Horz">
      <w:tblPr/>
      <w:tcPr>
        <w:tcBorders>
          <w:top w:val="nil"/>
          <w:left w:val="nil"/>
          <w:bottom w:val="nil"/>
          <w:right w:val="nil"/>
          <w:insideH w:val="nil"/>
          <w:insideV w:val="nil"/>
        </w:tcBorders>
        <w:shd w:val="clear" w:color="auto" w:fill="091B14" w:themeFill="accent1" w:themeFillShade="BF"/>
      </w:tcPr>
    </w:tblStylePr>
  </w:style>
  <w:style w:type="table" w:styleId="Donkerelijst-accent2">
    <w:name w:val="Dark List Accent 2"/>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402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F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F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F1D" w:themeFill="accent2" w:themeFillShade="BF"/>
      </w:tcPr>
    </w:tblStylePr>
    <w:tblStylePr w:type="band1Vert">
      <w:tblPr/>
      <w:tcPr>
        <w:tcBorders>
          <w:top w:val="nil"/>
          <w:left w:val="nil"/>
          <w:bottom w:val="nil"/>
          <w:right w:val="nil"/>
          <w:insideH w:val="nil"/>
          <w:insideV w:val="nil"/>
        </w:tcBorders>
        <w:shd w:val="clear" w:color="auto" w:fill="002F1D" w:themeFill="accent2" w:themeFillShade="BF"/>
      </w:tcPr>
    </w:tblStylePr>
    <w:tblStylePr w:type="band1Horz">
      <w:tblPr/>
      <w:tcPr>
        <w:tcBorders>
          <w:top w:val="nil"/>
          <w:left w:val="nil"/>
          <w:bottom w:val="nil"/>
          <w:right w:val="nil"/>
          <w:insideH w:val="nil"/>
          <w:insideV w:val="nil"/>
        </w:tcBorders>
        <w:shd w:val="clear" w:color="auto" w:fill="002F1D" w:themeFill="accent2" w:themeFillShade="BF"/>
      </w:tcPr>
    </w:tblStylePr>
  </w:style>
  <w:style w:type="table" w:styleId="Donkerelijst-accent3">
    <w:name w:val="Dark List Accent 3"/>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7F7E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4A4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0D09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0D09B" w:themeFill="accent3" w:themeFillShade="BF"/>
      </w:tcPr>
    </w:tblStylePr>
    <w:tblStylePr w:type="band1Vert">
      <w:tblPr/>
      <w:tcPr>
        <w:tcBorders>
          <w:top w:val="nil"/>
          <w:left w:val="nil"/>
          <w:bottom w:val="nil"/>
          <w:right w:val="nil"/>
          <w:insideH w:val="nil"/>
          <w:insideV w:val="nil"/>
        </w:tcBorders>
        <w:shd w:val="clear" w:color="auto" w:fill="D0D09B" w:themeFill="accent3" w:themeFillShade="BF"/>
      </w:tcPr>
    </w:tblStylePr>
    <w:tblStylePr w:type="band1Horz">
      <w:tblPr/>
      <w:tcPr>
        <w:tcBorders>
          <w:top w:val="nil"/>
          <w:left w:val="nil"/>
          <w:bottom w:val="nil"/>
          <w:right w:val="nil"/>
          <w:insideH w:val="nil"/>
          <w:insideV w:val="nil"/>
        </w:tcBorders>
        <w:shd w:val="clear" w:color="auto" w:fill="D0D09B" w:themeFill="accent3" w:themeFillShade="BF"/>
      </w:tcPr>
    </w:tblStylePr>
  </w:style>
  <w:style w:type="table" w:styleId="Donkerelijst-accent4">
    <w:name w:val="Dark List Accent 4"/>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3EA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674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AF8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AF8C" w:themeFill="accent4" w:themeFillShade="BF"/>
      </w:tcPr>
    </w:tblStylePr>
    <w:tblStylePr w:type="band1Vert">
      <w:tblPr/>
      <w:tcPr>
        <w:tcBorders>
          <w:top w:val="nil"/>
          <w:left w:val="nil"/>
          <w:bottom w:val="nil"/>
          <w:right w:val="nil"/>
          <w:insideH w:val="nil"/>
          <w:insideV w:val="nil"/>
        </w:tcBorders>
        <w:shd w:val="clear" w:color="auto" w:fill="D1AF8C" w:themeFill="accent4" w:themeFillShade="BF"/>
      </w:tcPr>
    </w:tblStylePr>
    <w:tblStylePr w:type="band1Horz">
      <w:tblPr/>
      <w:tcPr>
        <w:tcBorders>
          <w:top w:val="nil"/>
          <w:left w:val="nil"/>
          <w:bottom w:val="nil"/>
          <w:right w:val="nil"/>
          <w:insideH w:val="nil"/>
          <w:insideV w:val="nil"/>
        </w:tcBorders>
        <w:shd w:val="clear" w:color="auto" w:fill="D1AF8C" w:themeFill="accent4" w:themeFillShade="BF"/>
      </w:tcPr>
    </w:tblStylePr>
  </w:style>
  <w:style w:type="table" w:styleId="Donkerelijst-accent5">
    <w:name w:val="Dark List Accent 5"/>
    <w:basedOn w:val="Standaardtabel"/>
    <w:uiPriority w:val="59"/>
    <w:semiHidden/>
    <w:unhideWhenUsed/>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C52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2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C3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C3C00" w:themeFill="accent5" w:themeFillShade="BF"/>
      </w:tcPr>
    </w:tblStylePr>
    <w:tblStylePr w:type="band1Vert">
      <w:tblPr/>
      <w:tcPr>
        <w:tcBorders>
          <w:top w:val="nil"/>
          <w:left w:val="nil"/>
          <w:bottom w:val="nil"/>
          <w:right w:val="nil"/>
          <w:insideH w:val="nil"/>
          <w:insideV w:val="nil"/>
        </w:tcBorders>
        <w:shd w:val="clear" w:color="auto" w:fill="BC3C00" w:themeFill="accent5" w:themeFillShade="BF"/>
      </w:tcPr>
    </w:tblStylePr>
    <w:tblStylePr w:type="band1Horz">
      <w:tblPr/>
      <w:tcPr>
        <w:tcBorders>
          <w:top w:val="nil"/>
          <w:left w:val="nil"/>
          <w:bottom w:val="nil"/>
          <w:right w:val="nil"/>
          <w:insideH w:val="nil"/>
          <w:insideV w:val="nil"/>
        </w:tcBorders>
        <w:shd w:val="clear" w:color="auto" w:fill="BC3C00" w:themeFill="accent5" w:themeFillShade="BF"/>
      </w:tcPr>
    </w:tblStylePr>
  </w:style>
  <w:style w:type="table" w:styleId="Donkerelijst-accent6">
    <w:name w:val="Dark List Accent 6"/>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Eenvoudigetabel1">
    <w:name w:val="Table Simple 1"/>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61587E"/>
    <w:pPr>
      <w:spacing w:after="0" w:line="252" w:lineRule="auto"/>
    </w:pPr>
    <w:rPr>
      <w:kern w:val="0"/>
      <w:sz w:val="20"/>
      <w:szCs w:val="20"/>
      <w:lang w:val="en-US"/>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61587E"/>
    <w:pPr>
      <w:spacing w:after="0" w:line="252" w:lineRule="auto"/>
    </w:pPr>
    <w:rPr>
      <w:kern w:val="0"/>
      <w:sz w:val="20"/>
      <w:szCs w:val="20"/>
      <w:lang w:val="en-US"/>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61587E"/>
    <w:rPr>
      <w:vertAlign w:val="superscript"/>
    </w:rPr>
  </w:style>
  <w:style w:type="paragraph" w:styleId="Eindnoottekst">
    <w:name w:val="endnote text"/>
    <w:basedOn w:val="Standaard"/>
    <w:link w:val="EindnoottekstChar"/>
    <w:uiPriority w:val="59"/>
    <w:semiHidden/>
    <w:unhideWhenUsed/>
    <w:rsid w:val="0061587E"/>
    <w:pPr>
      <w:spacing w:line="240" w:lineRule="auto"/>
    </w:pPr>
  </w:style>
  <w:style w:type="character" w:customStyle="1" w:styleId="EindnoottekstChar">
    <w:name w:val="Eindnoottekst Char"/>
    <w:basedOn w:val="Standaardalinea-lettertype"/>
    <w:link w:val="Eindnoottekst"/>
    <w:uiPriority w:val="59"/>
    <w:semiHidden/>
    <w:rsid w:val="0061587E"/>
    <w:rPr>
      <w:rFonts w:ascii="Merriweather" w:hAnsi="Merriweather"/>
      <w:kern w:val="0"/>
      <w:sz w:val="17"/>
      <w:szCs w:val="20"/>
      <w:lang w:val="en-US"/>
      <w14:ligatures w14:val="none"/>
    </w:rPr>
  </w:style>
  <w:style w:type="table" w:styleId="Elegantetabel">
    <w:name w:val="Table Elegant"/>
    <w:basedOn w:val="Standaardtabel"/>
    <w:uiPriority w:val="59"/>
    <w:semiHidden/>
    <w:unhideWhenUsed/>
    <w:rsid w:val="0061587E"/>
    <w:pPr>
      <w:spacing w:after="0" w:line="252" w:lineRule="auto"/>
    </w:pPr>
    <w:rPr>
      <w:kern w:val="0"/>
      <w:sz w:val="20"/>
      <w:szCs w:val="20"/>
      <w:lang w:val="en-US"/>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61587E"/>
    <w:pPr>
      <w:spacing w:line="240" w:lineRule="auto"/>
    </w:pPr>
  </w:style>
  <w:style w:type="character" w:customStyle="1" w:styleId="E-mailhandtekeningChar">
    <w:name w:val="E-mailhandtekening Char"/>
    <w:basedOn w:val="Standaardalinea-lettertype"/>
    <w:link w:val="E-mailhandtekening"/>
    <w:uiPriority w:val="59"/>
    <w:semiHidden/>
    <w:rsid w:val="0061587E"/>
    <w:rPr>
      <w:rFonts w:ascii="Merriweather" w:hAnsi="Merriweather"/>
      <w:kern w:val="0"/>
      <w:sz w:val="17"/>
      <w:szCs w:val="20"/>
      <w:lang w:val="en-US"/>
      <w14:ligatures w14:val="none"/>
    </w:rPr>
  </w:style>
  <w:style w:type="paragraph" w:styleId="Geenafstand">
    <w:name w:val="No Spacing"/>
    <w:uiPriority w:val="59"/>
    <w:qFormat/>
    <w:rsid w:val="0061587E"/>
    <w:pPr>
      <w:spacing w:after="0" w:line="240" w:lineRule="auto"/>
    </w:pPr>
    <w:rPr>
      <w:kern w:val="0"/>
      <w:sz w:val="20"/>
      <w:szCs w:val="20"/>
      <w:lang w:val="en-US"/>
      <w14:ligatures w14:val="none"/>
    </w:rPr>
  </w:style>
  <w:style w:type="table" w:styleId="Gemiddeldraster1">
    <w:name w:val="Medium Grid 1"/>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insideV w:val="single" w:sz="8" w:space="0" w:color="287C5A" w:themeColor="accent1" w:themeTint="BF"/>
      </w:tblBorders>
    </w:tblPr>
    <w:tcPr>
      <w:shd w:val="clear" w:color="auto" w:fill="A8E3CB" w:themeFill="accent1" w:themeFillTint="3F"/>
    </w:tcPr>
    <w:tblStylePr w:type="firstRow">
      <w:rPr>
        <w:b/>
        <w:bCs/>
      </w:rPr>
    </w:tblStylePr>
    <w:tblStylePr w:type="lastRow">
      <w:rPr>
        <w:b/>
        <w:bCs/>
      </w:rPr>
      <w:tblPr/>
      <w:tcPr>
        <w:tcBorders>
          <w:top w:val="single" w:sz="18" w:space="0" w:color="287C5A" w:themeColor="accent1" w:themeTint="BF"/>
        </w:tcBorders>
      </w:tcPr>
    </w:tblStylePr>
    <w:tblStylePr w:type="firstCol">
      <w:rPr>
        <w:b/>
        <w:bCs/>
      </w:rPr>
    </w:tblStylePr>
    <w:tblStylePr w:type="lastCol">
      <w:rPr>
        <w:b/>
        <w:bCs/>
      </w:r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Gemiddeldraster1-accent2">
    <w:name w:val="Medium Grid 1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insideV w:val="single" w:sz="8" w:space="0" w:color="00AF6D" w:themeColor="accent2" w:themeTint="BF"/>
      </w:tblBorders>
    </w:tblPr>
    <w:tcPr>
      <w:shd w:val="clear" w:color="auto" w:fill="90FFD5" w:themeFill="accent2" w:themeFillTint="3F"/>
    </w:tcPr>
    <w:tblStylePr w:type="firstRow">
      <w:rPr>
        <w:b/>
        <w:bCs/>
      </w:rPr>
    </w:tblStylePr>
    <w:tblStylePr w:type="lastRow">
      <w:rPr>
        <w:b/>
        <w:bCs/>
      </w:rPr>
      <w:tblPr/>
      <w:tcPr>
        <w:tcBorders>
          <w:top w:val="single" w:sz="18" w:space="0" w:color="00AF6D" w:themeColor="accent2" w:themeTint="BF"/>
        </w:tcBorders>
      </w:tcPr>
    </w:tblStylePr>
    <w:tblStylePr w:type="firstCol">
      <w:rPr>
        <w:b/>
        <w:bCs/>
      </w:rPr>
    </w:tblStylePr>
    <w:tblStylePr w:type="lastCol">
      <w:rPr>
        <w:b/>
        <w:bCs/>
      </w:r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Gemiddeldraster1-accent3">
    <w:name w:val="Medium Grid 1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insideV w:val="single" w:sz="8" w:space="0" w:color="F9F9F2" w:themeColor="accent3" w:themeTint="BF"/>
      </w:tblBorders>
    </w:tblPr>
    <w:tcPr>
      <w:shd w:val="clear" w:color="auto" w:fill="FDFDFA" w:themeFill="accent3" w:themeFillTint="3F"/>
    </w:tcPr>
    <w:tblStylePr w:type="firstRow">
      <w:rPr>
        <w:b/>
        <w:bCs/>
      </w:rPr>
    </w:tblStylePr>
    <w:tblStylePr w:type="lastRow">
      <w:rPr>
        <w:b/>
        <w:bCs/>
      </w:rPr>
      <w:tblPr/>
      <w:tcPr>
        <w:tcBorders>
          <w:top w:val="single" w:sz="18" w:space="0" w:color="F9F9F2" w:themeColor="accent3" w:themeTint="BF"/>
        </w:tcBorders>
      </w:tcPr>
    </w:tblStylePr>
    <w:tblStylePr w:type="firstCol">
      <w:rPr>
        <w:b/>
        <w:bCs/>
      </w:rPr>
    </w:tblStylePr>
    <w:tblStylePr w:type="lastCol">
      <w:rPr>
        <w:b/>
        <w:bCs/>
      </w:r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Gemiddeldraster1-accent4">
    <w:name w:val="Medium Grid 1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insideV w:val="single" w:sz="8" w:space="0" w:color="F6EFE8" w:themeColor="accent4" w:themeTint="BF"/>
      </w:tblBorders>
    </w:tblPr>
    <w:tcPr>
      <w:shd w:val="clear" w:color="auto" w:fill="FCF9F7" w:themeFill="accent4" w:themeFillTint="3F"/>
    </w:tcPr>
    <w:tblStylePr w:type="firstRow">
      <w:rPr>
        <w:b/>
        <w:bCs/>
      </w:rPr>
    </w:tblStylePr>
    <w:tblStylePr w:type="lastRow">
      <w:rPr>
        <w:b/>
        <w:bCs/>
      </w:rPr>
      <w:tblPr/>
      <w:tcPr>
        <w:tcBorders>
          <w:top w:val="single" w:sz="18" w:space="0" w:color="F6EFE8" w:themeColor="accent4" w:themeTint="BF"/>
        </w:tcBorders>
      </w:tcPr>
    </w:tblStylePr>
    <w:tblStylePr w:type="firstCol">
      <w:rPr>
        <w:b/>
        <w:bCs/>
      </w:rPr>
    </w:tblStylePr>
    <w:tblStylePr w:type="lastCol">
      <w:rPr>
        <w:b/>
        <w:bCs/>
      </w:r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Gemiddeldraster1-accent5">
    <w:name w:val="Medium Grid 1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insideV w:val="single" w:sz="8" w:space="0" w:color="FF7B3D" w:themeColor="accent5" w:themeTint="BF"/>
      </w:tblBorders>
    </w:tblPr>
    <w:tcPr>
      <w:shd w:val="clear" w:color="auto" w:fill="FFD3BF" w:themeFill="accent5" w:themeFillTint="3F"/>
    </w:tcPr>
    <w:tblStylePr w:type="firstRow">
      <w:rPr>
        <w:b/>
        <w:bCs/>
      </w:rPr>
    </w:tblStylePr>
    <w:tblStylePr w:type="lastRow">
      <w:rPr>
        <w:b/>
        <w:bCs/>
      </w:rPr>
      <w:tblPr/>
      <w:tcPr>
        <w:tcBorders>
          <w:top w:val="single" w:sz="18" w:space="0" w:color="FF7B3D" w:themeColor="accent5" w:themeTint="BF"/>
        </w:tcBorders>
      </w:tcPr>
    </w:tblStylePr>
    <w:tblStylePr w:type="firstCol">
      <w:rPr>
        <w:b/>
        <w:bCs/>
      </w:rPr>
    </w:tblStylePr>
    <w:tblStylePr w:type="lastCol">
      <w:rPr>
        <w:b/>
        <w:bCs/>
      </w:r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Gemiddeldraster1-accent6">
    <w:name w:val="Medium Grid 1 Accent 6"/>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cPr>
      <w:shd w:val="clear" w:color="auto" w:fill="A8E3CB" w:themeFill="accent1" w:themeFillTint="3F"/>
    </w:tcPr>
    <w:tblStylePr w:type="firstRow">
      <w:rPr>
        <w:b/>
        <w:bCs/>
        <w:color w:val="000000" w:themeColor="text1"/>
      </w:rPr>
      <w:tblPr/>
      <w:tcPr>
        <w:shd w:val="clear" w:color="auto" w:fill="DCF4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8D5" w:themeFill="accent1" w:themeFillTint="33"/>
      </w:tcPr>
    </w:tblStylePr>
    <w:tblStylePr w:type="band1Vert">
      <w:tblPr/>
      <w:tcPr>
        <w:shd w:val="clear" w:color="auto" w:fill="51C697" w:themeFill="accent1" w:themeFillTint="7F"/>
      </w:tcPr>
    </w:tblStylePr>
    <w:tblStylePr w:type="band1Horz">
      <w:tblPr/>
      <w:tcPr>
        <w:tcBorders>
          <w:insideH w:val="single" w:sz="6" w:space="0" w:color="0C251B" w:themeColor="accent1"/>
          <w:insideV w:val="single" w:sz="6" w:space="0" w:color="0C251B" w:themeColor="accent1"/>
        </w:tcBorders>
        <w:shd w:val="clear" w:color="auto" w:fill="51C69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cPr>
      <w:shd w:val="clear" w:color="auto" w:fill="90FFD5" w:themeFill="accent2" w:themeFillTint="3F"/>
    </w:tcPr>
    <w:tblStylePr w:type="firstRow">
      <w:rPr>
        <w:b/>
        <w:bCs/>
        <w:color w:val="000000" w:themeColor="text1"/>
      </w:rPr>
      <w:tblPr/>
      <w:tcPr>
        <w:shd w:val="clear" w:color="auto" w:fill="D3F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FDD" w:themeFill="accent2" w:themeFillTint="33"/>
      </w:tcPr>
    </w:tblStylePr>
    <w:tblStylePr w:type="band1Vert">
      <w:tblPr/>
      <w:tcPr>
        <w:shd w:val="clear" w:color="auto" w:fill="20FFAB" w:themeFill="accent2" w:themeFillTint="7F"/>
      </w:tcPr>
    </w:tblStylePr>
    <w:tblStylePr w:type="band1Horz">
      <w:tblPr/>
      <w:tcPr>
        <w:tcBorders>
          <w:insideH w:val="single" w:sz="6" w:space="0" w:color="004028" w:themeColor="accent2"/>
          <w:insideV w:val="single" w:sz="6" w:space="0" w:color="004028" w:themeColor="accent2"/>
        </w:tcBorders>
        <w:shd w:val="clear" w:color="auto" w:fill="20FFAB"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cPr>
      <w:shd w:val="clear" w:color="auto" w:fill="FDFDFA" w:themeFill="accent3" w:themeFillTint="3F"/>
    </w:tcPr>
    <w:tblStylePr w:type="firstRow">
      <w:rPr>
        <w:b/>
        <w:bCs/>
        <w:color w:val="000000" w:themeColor="text1"/>
      </w:rPr>
      <w:tblPr/>
      <w:tcPr>
        <w:shd w:val="clear" w:color="auto" w:fill="FEFE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B" w:themeFill="accent3" w:themeFillTint="33"/>
      </w:tcPr>
    </w:tblStylePr>
    <w:tblStylePr w:type="band1Vert">
      <w:tblPr/>
      <w:tcPr>
        <w:shd w:val="clear" w:color="auto" w:fill="FBFBF6" w:themeFill="accent3" w:themeFillTint="7F"/>
      </w:tcPr>
    </w:tblStylePr>
    <w:tblStylePr w:type="band1Horz">
      <w:tblPr/>
      <w:tcPr>
        <w:tcBorders>
          <w:insideH w:val="single" w:sz="6" w:space="0" w:color="F7F7EE" w:themeColor="accent3"/>
          <w:insideV w:val="single" w:sz="6" w:space="0" w:color="F7F7EE" w:themeColor="accent3"/>
        </w:tcBorders>
        <w:shd w:val="clear" w:color="auto" w:fill="FBFB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cPr>
      <w:shd w:val="clear" w:color="auto" w:fill="FCF9F7" w:themeFill="accent4" w:themeFillTint="3F"/>
    </w:tcPr>
    <w:tblStylePr w:type="firstRow">
      <w:rPr>
        <w:b/>
        <w:bCs/>
        <w:color w:val="000000" w:themeColor="text1"/>
      </w:rPr>
      <w:tblPr/>
      <w:tcPr>
        <w:shd w:val="clear" w:color="auto" w:fill="FD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AF8" w:themeFill="accent4" w:themeFillTint="33"/>
      </w:tcPr>
    </w:tblStylePr>
    <w:tblStylePr w:type="band1Vert">
      <w:tblPr/>
      <w:tcPr>
        <w:shd w:val="clear" w:color="auto" w:fill="F9F4F0" w:themeFill="accent4" w:themeFillTint="7F"/>
      </w:tcPr>
    </w:tblStylePr>
    <w:tblStylePr w:type="band1Horz">
      <w:tblPr/>
      <w:tcPr>
        <w:tcBorders>
          <w:insideH w:val="single" w:sz="6" w:space="0" w:color="F3EAE1" w:themeColor="accent4"/>
          <w:insideV w:val="single" w:sz="6" w:space="0" w:color="F3EAE1" w:themeColor="accent4"/>
        </w:tcBorders>
        <w:shd w:val="clear" w:color="auto" w:fill="F9F4F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cPr>
      <w:shd w:val="clear" w:color="auto" w:fill="FFD3BF" w:themeFill="accent5" w:themeFillTint="3F"/>
    </w:tcPr>
    <w:tblStylePr w:type="firstRow">
      <w:rPr>
        <w:b/>
        <w:bCs/>
        <w:color w:val="000000" w:themeColor="text1"/>
      </w:rPr>
      <w:tblPr/>
      <w:tcPr>
        <w:shd w:val="clear" w:color="auto" w:fill="FFED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BCB" w:themeFill="accent5" w:themeFillTint="33"/>
      </w:tcPr>
    </w:tblStylePr>
    <w:tblStylePr w:type="band1Vert">
      <w:tblPr/>
      <w:tcPr>
        <w:shd w:val="clear" w:color="auto" w:fill="FFA77E" w:themeFill="accent5" w:themeFillTint="7F"/>
      </w:tcPr>
    </w:tblStylePr>
    <w:tblStylePr w:type="band1Horz">
      <w:tblPr/>
      <w:tcPr>
        <w:tcBorders>
          <w:insideH w:val="single" w:sz="6" w:space="0" w:color="FC5200" w:themeColor="accent5"/>
          <w:insideV w:val="single" w:sz="6" w:space="0" w:color="FC5200" w:themeColor="accent5"/>
        </w:tcBorders>
        <w:shd w:val="clear" w:color="auto" w:fill="FFA77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3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51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51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C69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C697" w:themeFill="accent1" w:themeFillTint="7F"/>
      </w:tcPr>
    </w:tblStylePr>
  </w:style>
  <w:style w:type="table" w:styleId="Gemiddeldraster3-accent2">
    <w:name w:val="Medium Grid 3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FFD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02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02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FFA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FFAB" w:themeFill="accent2" w:themeFillTint="7F"/>
      </w:tcPr>
    </w:tblStylePr>
  </w:style>
  <w:style w:type="table" w:styleId="Gemiddeldraster3-accent3">
    <w:name w:val="Medium Grid 3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D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F7E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F7E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FB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FBF6" w:themeFill="accent3" w:themeFillTint="7F"/>
      </w:tcPr>
    </w:tblStylePr>
  </w:style>
  <w:style w:type="table" w:styleId="Gemiddeldraster3-accent4">
    <w:name w:val="Medium Grid 3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EA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EA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4F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4F0" w:themeFill="accent4" w:themeFillTint="7F"/>
      </w:tcPr>
    </w:tblStylePr>
  </w:style>
  <w:style w:type="table" w:styleId="Gemiddeldraster3-accent5">
    <w:name w:val="Medium Grid 3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3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52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52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77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77E" w:themeFill="accent5" w:themeFillTint="7F"/>
      </w:tcPr>
    </w:tblStylePr>
  </w:style>
  <w:style w:type="table" w:styleId="Gemiddeldraster3-accent6">
    <w:name w:val="Medium Grid 3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arcering1">
    <w:name w:val="Medium Shading 1"/>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tblBorders>
    </w:tblPr>
    <w:tblStylePr w:type="firstRow">
      <w:pPr>
        <w:spacing w:before="0" w:after="0" w:line="240" w:lineRule="auto"/>
      </w:pPr>
      <w:rPr>
        <w:b/>
        <w:bCs/>
        <w:color w:val="FFFFFF" w:themeColor="background1"/>
      </w:rPr>
      <w:tblPr/>
      <w:tcPr>
        <w:tc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shd w:val="clear" w:color="auto" w:fill="0C251B" w:themeFill="accent1"/>
      </w:tcPr>
    </w:tblStylePr>
    <w:tblStylePr w:type="lastRow">
      <w:pPr>
        <w:spacing w:before="0" w:after="0" w:line="240" w:lineRule="auto"/>
      </w:pPr>
      <w:rPr>
        <w:b/>
        <w:bCs/>
      </w:rPr>
      <w:tblPr/>
      <w:tcPr>
        <w:tcBorders>
          <w:top w:val="double" w:sz="6"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E3CB" w:themeFill="accent1" w:themeFillTint="3F"/>
      </w:tcPr>
    </w:tblStylePr>
    <w:tblStylePr w:type="band1Horz">
      <w:tblPr/>
      <w:tcPr>
        <w:tcBorders>
          <w:insideH w:val="nil"/>
          <w:insideV w:val="nil"/>
        </w:tcBorders>
        <w:shd w:val="clear" w:color="auto" w:fill="A8E3C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tblBorders>
    </w:tblPr>
    <w:tblStylePr w:type="firstRow">
      <w:pPr>
        <w:spacing w:before="0" w:after="0" w:line="240" w:lineRule="auto"/>
      </w:pPr>
      <w:rPr>
        <w:b/>
        <w:bCs/>
        <w:color w:val="FFFFFF" w:themeColor="background1"/>
      </w:rPr>
      <w:tblPr/>
      <w:tcPr>
        <w:tc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shd w:val="clear" w:color="auto" w:fill="004028" w:themeFill="accent2"/>
      </w:tcPr>
    </w:tblStylePr>
    <w:tblStylePr w:type="lastRow">
      <w:pPr>
        <w:spacing w:before="0" w:after="0" w:line="240" w:lineRule="auto"/>
      </w:pPr>
      <w:rPr>
        <w:b/>
        <w:bCs/>
      </w:rPr>
      <w:tblPr/>
      <w:tcPr>
        <w:tcBorders>
          <w:top w:val="double" w:sz="6"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FFD5" w:themeFill="accent2" w:themeFillTint="3F"/>
      </w:tcPr>
    </w:tblStylePr>
    <w:tblStylePr w:type="band1Horz">
      <w:tblPr/>
      <w:tcPr>
        <w:tcBorders>
          <w:insideH w:val="nil"/>
          <w:insideV w:val="nil"/>
        </w:tcBorders>
        <w:shd w:val="clear" w:color="auto" w:fill="90FFD5"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tblBorders>
    </w:tblPr>
    <w:tblStylePr w:type="firstRow">
      <w:pPr>
        <w:spacing w:before="0" w:after="0" w:line="240" w:lineRule="auto"/>
      </w:pPr>
      <w:rPr>
        <w:b/>
        <w:bCs/>
        <w:color w:val="FFFFFF" w:themeColor="background1"/>
      </w:rPr>
      <w:tblPr/>
      <w:tcPr>
        <w:tc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shd w:val="clear" w:color="auto" w:fill="F7F7EE" w:themeFill="accent3"/>
      </w:tcPr>
    </w:tblStylePr>
    <w:tblStylePr w:type="lastRow">
      <w:pPr>
        <w:spacing w:before="0" w:after="0" w:line="240" w:lineRule="auto"/>
      </w:pPr>
      <w:rPr>
        <w:b/>
        <w:bCs/>
      </w:rPr>
      <w:tblPr/>
      <w:tcPr>
        <w:tcBorders>
          <w:top w:val="double" w:sz="6"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DFA" w:themeFill="accent3" w:themeFillTint="3F"/>
      </w:tcPr>
    </w:tblStylePr>
    <w:tblStylePr w:type="band1Horz">
      <w:tblPr/>
      <w:tcPr>
        <w:tcBorders>
          <w:insideH w:val="nil"/>
          <w:insideV w:val="nil"/>
        </w:tcBorders>
        <w:shd w:val="clear" w:color="auto" w:fill="FDFD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tblBorders>
    </w:tblPr>
    <w:tblStylePr w:type="firstRow">
      <w:pPr>
        <w:spacing w:before="0" w:after="0" w:line="240" w:lineRule="auto"/>
      </w:pPr>
      <w:rPr>
        <w:b/>
        <w:bCs/>
        <w:color w:val="FFFFFF" w:themeColor="background1"/>
      </w:rPr>
      <w:tblPr/>
      <w:tcPr>
        <w:tc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shd w:val="clear" w:color="auto" w:fill="F3EAE1" w:themeFill="accent4"/>
      </w:tcPr>
    </w:tblStylePr>
    <w:tblStylePr w:type="lastRow">
      <w:pPr>
        <w:spacing w:before="0" w:after="0" w:line="240" w:lineRule="auto"/>
      </w:pPr>
      <w:rPr>
        <w:b/>
        <w:bCs/>
      </w:rPr>
      <w:tblPr/>
      <w:tcPr>
        <w:tcBorders>
          <w:top w:val="double" w:sz="6"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9F7" w:themeFill="accent4" w:themeFillTint="3F"/>
      </w:tcPr>
    </w:tblStylePr>
    <w:tblStylePr w:type="band1Horz">
      <w:tblPr/>
      <w:tcPr>
        <w:tcBorders>
          <w:insideH w:val="nil"/>
          <w:insideV w:val="nil"/>
        </w:tcBorders>
        <w:shd w:val="clear" w:color="auto" w:fill="FCF9F7"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tblBorders>
    </w:tblPr>
    <w:tblStylePr w:type="firstRow">
      <w:pPr>
        <w:spacing w:before="0" w:after="0" w:line="240" w:lineRule="auto"/>
      </w:pPr>
      <w:rPr>
        <w:b/>
        <w:bCs/>
        <w:color w:val="FFFFFF" w:themeColor="background1"/>
      </w:rPr>
      <w:tblPr/>
      <w:tcPr>
        <w:tc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shd w:val="clear" w:color="auto" w:fill="FC5200" w:themeFill="accent5"/>
      </w:tcPr>
    </w:tblStylePr>
    <w:tblStylePr w:type="lastRow">
      <w:pPr>
        <w:spacing w:before="0" w:after="0" w:line="240" w:lineRule="auto"/>
      </w:pPr>
      <w:rPr>
        <w:b/>
        <w:bCs/>
      </w:rPr>
      <w:tblPr/>
      <w:tcPr>
        <w:tcBorders>
          <w:top w:val="double" w:sz="6"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3BF" w:themeFill="accent5" w:themeFillTint="3F"/>
      </w:tcPr>
    </w:tblStylePr>
    <w:tblStylePr w:type="band1Horz">
      <w:tblPr/>
      <w:tcPr>
        <w:tcBorders>
          <w:insideH w:val="nil"/>
          <w:insideV w:val="nil"/>
        </w:tcBorders>
        <w:shd w:val="clear" w:color="auto" w:fill="FFD3B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51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51B" w:themeFill="accent1"/>
      </w:tcPr>
    </w:tblStylePr>
    <w:tblStylePr w:type="lastCol">
      <w:rPr>
        <w:b/>
        <w:bCs/>
        <w:color w:val="FFFFFF" w:themeColor="background1"/>
      </w:rPr>
      <w:tblPr/>
      <w:tcPr>
        <w:tcBorders>
          <w:left w:val="nil"/>
          <w:right w:val="nil"/>
          <w:insideH w:val="nil"/>
          <w:insideV w:val="nil"/>
        </w:tcBorders>
        <w:shd w:val="clear" w:color="auto" w:fill="0C251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02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028" w:themeFill="accent2"/>
      </w:tcPr>
    </w:tblStylePr>
    <w:tblStylePr w:type="lastCol">
      <w:rPr>
        <w:b/>
        <w:bCs/>
        <w:color w:val="FFFFFF" w:themeColor="background1"/>
      </w:rPr>
      <w:tblPr/>
      <w:tcPr>
        <w:tcBorders>
          <w:left w:val="nil"/>
          <w:right w:val="nil"/>
          <w:insideH w:val="nil"/>
          <w:insideV w:val="nil"/>
        </w:tcBorders>
        <w:shd w:val="clear" w:color="auto" w:fill="00402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F7E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F7EE" w:themeFill="accent3"/>
      </w:tcPr>
    </w:tblStylePr>
    <w:tblStylePr w:type="lastCol">
      <w:rPr>
        <w:b/>
        <w:bCs/>
        <w:color w:val="FFFFFF" w:themeColor="background1"/>
      </w:rPr>
      <w:tblPr/>
      <w:tcPr>
        <w:tcBorders>
          <w:left w:val="nil"/>
          <w:right w:val="nil"/>
          <w:insideH w:val="nil"/>
          <w:insideV w:val="nil"/>
        </w:tcBorders>
        <w:shd w:val="clear" w:color="auto" w:fill="F7F7E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EA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EAE1" w:themeFill="accent4"/>
      </w:tcPr>
    </w:tblStylePr>
    <w:tblStylePr w:type="lastCol">
      <w:rPr>
        <w:b/>
        <w:bCs/>
        <w:color w:val="FFFFFF" w:themeColor="background1"/>
      </w:rPr>
      <w:tblPr/>
      <w:tcPr>
        <w:tcBorders>
          <w:left w:val="nil"/>
          <w:right w:val="nil"/>
          <w:insideH w:val="nil"/>
          <w:insideV w:val="nil"/>
        </w:tcBorders>
        <w:shd w:val="clear" w:color="auto" w:fill="F3EA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52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5200" w:themeFill="accent5"/>
      </w:tcPr>
    </w:tblStylePr>
    <w:tblStylePr w:type="lastCol">
      <w:rPr>
        <w:b/>
        <w:bCs/>
        <w:color w:val="FFFFFF" w:themeColor="background1"/>
      </w:rPr>
      <w:tblPr/>
      <w:tcPr>
        <w:tcBorders>
          <w:left w:val="nil"/>
          <w:right w:val="nil"/>
          <w:insideH w:val="nil"/>
          <w:insideV w:val="nil"/>
        </w:tcBorders>
        <w:shd w:val="clear" w:color="auto" w:fill="FC52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C251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rPr>
        <w:rFonts w:asciiTheme="majorHAnsi" w:eastAsiaTheme="majorEastAsia" w:hAnsiTheme="majorHAnsi" w:cstheme="majorBidi"/>
      </w:rPr>
      <w:tblPr/>
      <w:tcPr>
        <w:tcBorders>
          <w:top w:val="nil"/>
          <w:bottom w:val="single" w:sz="8" w:space="0" w:color="0C251B" w:themeColor="accent1"/>
        </w:tcBorders>
      </w:tcPr>
    </w:tblStylePr>
    <w:tblStylePr w:type="lastRow">
      <w:rPr>
        <w:b/>
        <w:bCs/>
        <w:color w:val="0C251B" w:themeColor="text2"/>
      </w:rPr>
      <w:tblPr/>
      <w:tcPr>
        <w:tcBorders>
          <w:top w:val="single" w:sz="8" w:space="0" w:color="0C251B" w:themeColor="accent1"/>
          <w:bottom w:val="single" w:sz="8" w:space="0" w:color="0C251B" w:themeColor="accent1"/>
        </w:tcBorders>
      </w:tcPr>
    </w:tblStylePr>
    <w:tblStylePr w:type="firstCol">
      <w:rPr>
        <w:b/>
        <w:bCs/>
      </w:rPr>
    </w:tblStylePr>
    <w:tblStylePr w:type="lastCol">
      <w:rPr>
        <w:b/>
        <w:bCs/>
      </w:rPr>
      <w:tblPr/>
      <w:tcPr>
        <w:tcBorders>
          <w:top w:val="single" w:sz="8" w:space="0" w:color="0C251B" w:themeColor="accent1"/>
          <w:bottom w:val="single" w:sz="8" w:space="0" w:color="0C251B" w:themeColor="accent1"/>
        </w:tcBorders>
      </w:tcPr>
    </w:tblStylePr>
    <w:tblStylePr w:type="band1Vert">
      <w:tblPr/>
      <w:tcPr>
        <w:shd w:val="clear" w:color="auto" w:fill="A8E3CB" w:themeFill="accent1" w:themeFillTint="3F"/>
      </w:tcPr>
    </w:tblStylePr>
    <w:tblStylePr w:type="band1Horz">
      <w:tblPr/>
      <w:tcPr>
        <w:shd w:val="clear" w:color="auto" w:fill="A8E3CB" w:themeFill="accent1" w:themeFillTint="3F"/>
      </w:tcPr>
    </w:tblStylePr>
  </w:style>
  <w:style w:type="table" w:styleId="Gemiddeldelijst1-accent2">
    <w:name w:val="Medium List 1 Accent 2"/>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rPr>
        <w:rFonts w:asciiTheme="majorHAnsi" w:eastAsiaTheme="majorEastAsia" w:hAnsiTheme="majorHAnsi" w:cstheme="majorBidi"/>
      </w:rPr>
      <w:tblPr/>
      <w:tcPr>
        <w:tcBorders>
          <w:top w:val="nil"/>
          <w:bottom w:val="single" w:sz="8" w:space="0" w:color="004028" w:themeColor="accent2"/>
        </w:tcBorders>
      </w:tcPr>
    </w:tblStylePr>
    <w:tblStylePr w:type="lastRow">
      <w:rPr>
        <w:b/>
        <w:bCs/>
        <w:color w:val="0C251B" w:themeColor="text2"/>
      </w:rPr>
      <w:tblPr/>
      <w:tcPr>
        <w:tcBorders>
          <w:top w:val="single" w:sz="8" w:space="0" w:color="004028" w:themeColor="accent2"/>
          <w:bottom w:val="single" w:sz="8" w:space="0" w:color="004028" w:themeColor="accent2"/>
        </w:tcBorders>
      </w:tcPr>
    </w:tblStylePr>
    <w:tblStylePr w:type="firstCol">
      <w:rPr>
        <w:b/>
        <w:bCs/>
      </w:rPr>
    </w:tblStylePr>
    <w:tblStylePr w:type="lastCol">
      <w:rPr>
        <w:b/>
        <w:bCs/>
      </w:rPr>
      <w:tblPr/>
      <w:tcPr>
        <w:tcBorders>
          <w:top w:val="single" w:sz="8" w:space="0" w:color="004028" w:themeColor="accent2"/>
          <w:bottom w:val="single" w:sz="8" w:space="0" w:color="004028" w:themeColor="accent2"/>
        </w:tcBorders>
      </w:tcPr>
    </w:tblStylePr>
    <w:tblStylePr w:type="band1Vert">
      <w:tblPr/>
      <w:tcPr>
        <w:shd w:val="clear" w:color="auto" w:fill="90FFD5" w:themeFill="accent2" w:themeFillTint="3F"/>
      </w:tcPr>
    </w:tblStylePr>
    <w:tblStylePr w:type="band1Horz">
      <w:tblPr/>
      <w:tcPr>
        <w:shd w:val="clear" w:color="auto" w:fill="90FFD5" w:themeFill="accent2" w:themeFillTint="3F"/>
      </w:tcPr>
    </w:tblStylePr>
  </w:style>
  <w:style w:type="table" w:styleId="Gemiddeldelijst1-accent3">
    <w:name w:val="Medium List 1 Accent 3"/>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rPr>
        <w:rFonts w:asciiTheme="majorHAnsi" w:eastAsiaTheme="majorEastAsia" w:hAnsiTheme="majorHAnsi" w:cstheme="majorBidi"/>
      </w:rPr>
      <w:tblPr/>
      <w:tcPr>
        <w:tcBorders>
          <w:top w:val="nil"/>
          <w:bottom w:val="single" w:sz="8" w:space="0" w:color="F7F7EE" w:themeColor="accent3"/>
        </w:tcBorders>
      </w:tcPr>
    </w:tblStylePr>
    <w:tblStylePr w:type="lastRow">
      <w:rPr>
        <w:b/>
        <w:bCs/>
        <w:color w:val="0C251B" w:themeColor="text2"/>
      </w:rPr>
      <w:tblPr/>
      <w:tcPr>
        <w:tcBorders>
          <w:top w:val="single" w:sz="8" w:space="0" w:color="F7F7EE" w:themeColor="accent3"/>
          <w:bottom w:val="single" w:sz="8" w:space="0" w:color="F7F7EE" w:themeColor="accent3"/>
        </w:tcBorders>
      </w:tcPr>
    </w:tblStylePr>
    <w:tblStylePr w:type="firstCol">
      <w:rPr>
        <w:b/>
        <w:bCs/>
      </w:rPr>
    </w:tblStylePr>
    <w:tblStylePr w:type="lastCol">
      <w:rPr>
        <w:b/>
        <w:bCs/>
      </w:rPr>
      <w:tblPr/>
      <w:tcPr>
        <w:tcBorders>
          <w:top w:val="single" w:sz="8" w:space="0" w:color="F7F7EE" w:themeColor="accent3"/>
          <w:bottom w:val="single" w:sz="8" w:space="0" w:color="F7F7EE" w:themeColor="accent3"/>
        </w:tcBorders>
      </w:tcPr>
    </w:tblStylePr>
    <w:tblStylePr w:type="band1Vert">
      <w:tblPr/>
      <w:tcPr>
        <w:shd w:val="clear" w:color="auto" w:fill="FDFDFA" w:themeFill="accent3" w:themeFillTint="3F"/>
      </w:tcPr>
    </w:tblStylePr>
    <w:tblStylePr w:type="band1Horz">
      <w:tblPr/>
      <w:tcPr>
        <w:shd w:val="clear" w:color="auto" w:fill="FDFDFA" w:themeFill="accent3" w:themeFillTint="3F"/>
      </w:tcPr>
    </w:tblStylePr>
  </w:style>
  <w:style w:type="table" w:styleId="Gemiddeldelijst1-accent4">
    <w:name w:val="Medium List 1 Accent 4"/>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rPr>
        <w:rFonts w:asciiTheme="majorHAnsi" w:eastAsiaTheme="majorEastAsia" w:hAnsiTheme="majorHAnsi" w:cstheme="majorBidi"/>
      </w:rPr>
      <w:tblPr/>
      <w:tcPr>
        <w:tcBorders>
          <w:top w:val="nil"/>
          <w:bottom w:val="single" w:sz="8" w:space="0" w:color="F3EAE1" w:themeColor="accent4"/>
        </w:tcBorders>
      </w:tcPr>
    </w:tblStylePr>
    <w:tblStylePr w:type="lastRow">
      <w:rPr>
        <w:b/>
        <w:bCs/>
        <w:color w:val="0C251B" w:themeColor="text2"/>
      </w:rPr>
      <w:tblPr/>
      <w:tcPr>
        <w:tcBorders>
          <w:top w:val="single" w:sz="8" w:space="0" w:color="F3EAE1" w:themeColor="accent4"/>
          <w:bottom w:val="single" w:sz="8" w:space="0" w:color="F3EAE1" w:themeColor="accent4"/>
        </w:tcBorders>
      </w:tcPr>
    </w:tblStylePr>
    <w:tblStylePr w:type="firstCol">
      <w:rPr>
        <w:b/>
        <w:bCs/>
      </w:rPr>
    </w:tblStylePr>
    <w:tblStylePr w:type="lastCol">
      <w:rPr>
        <w:b/>
        <w:bCs/>
      </w:rPr>
      <w:tblPr/>
      <w:tcPr>
        <w:tcBorders>
          <w:top w:val="single" w:sz="8" w:space="0" w:color="F3EAE1" w:themeColor="accent4"/>
          <w:bottom w:val="single" w:sz="8" w:space="0" w:color="F3EAE1" w:themeColor="accent4"/>
        </w:tcBorders>
      </w:tcPr>
    </w:tblStylePr>
    <w:tblStylePr w:type="band1Vert">
      <w:tblPr/>
      <w:tcPr>
        <w:shd w:val="clear" w:color="auto" w:fill="FCF9F7" w:themeFill="accent4" w:themeFillTint="3F"/>
      </w:tcPr>
    </w:tblStylePr>
    <w:tblStylePr w:type="band1Horz">
      <w:tblPr/>
      <w:tcPr>
        <w:shd w:val="clear" w:color="auto" w:fill="FCF9F7" w:themeFill="accent4" w:themeFillTint="3F"/>
      </w:tcPr>
    </w:tblStylePr>
  </w:style>
  <w:style w:type="table" w:styleId="Gemiddeldelijst1-accent5">
    <w:name w:val="Medium List 1 Accent 5"/>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rPr>
        <w:rFonts w:asciiTheme="majorHAnsi" w:eastAsiaTheme="majorEastAsia" w:hAnsiTheme="majorHAnsi" w:cstheme="majorBidi"/>
      </w:rPr>
      <w:tblPr/>
      <w:tcPr>
        <w:tcBorders>
          <w:top w:val="nil"/>
          <w:bottom w:val="single" w:sz="8" w:space="0" w:color="FC5200" w:themeColor="accent5"/>
        </w:tcBorders>
      </w:tcPr>
    </w:tblStylePr>
    <w:tblStylePr w:type="lastRow">
      <w:rPr>
        <w:b/>
        <w:bCs/>
        <w:color w:val="0C251B" w:themeColor="text2"/>
      </w:rPr>
      <w:tblPr/>
      <w:tcPr>
        <w:tcBorders>
          <w:top w:val="single" w:sz="8" w:space="0" w:color="FC5200" w:themeColor="accent5"/>
          <w:bottom w:val="single" w:sz="8" w:space="0" w:color="FC5200" w:themeColor="accent5"/>
        </w:tcBorders>
      </w:tcPr>
    </w:tblStylePr>
    <w:tblStylePr w:type="firstCol">
      <w:rPr>
        <w:b/>
        <w:bCs/>
      </w:rPr>
    </w:tblStylePr>
    <w:tblStylePr w:type="lastCol">
      <w:rPr>
        <w:b/>
        <w:bCs/>
      </w:rPr>
      <w:tblPr/>
      <w:tcPr>
        <w:tcBorders>
          <w:top w:val="single" w:sz="8" w:space="0" w:color="FC5200" w:themeColor="accent5"/>
          <w:bottom w:val="single" w:sz="8" w:space="0" w:color="FC5200" w:themeColor="accent5"/>
        </w:tcBorders>
      </w:tcPr>
    </w:tblStylePr>
    <w:tblStylePr w:type="band1Vert">
      <w:tblPr/>
      <w:tcPr>
        <w:shd w:val="clear" w:color="auto" w:fill="FFD3BF" w:themeFill="accent5" w:themeFillTint="3F"/>
      </w:tcPr>
    </w:tblStylePr>
    <w:tblStylePr w:type="band1Horz">
      <w:tblPr/>
      <w:tcPr>
        <w:shd w:val="clear" w:color="auto" w:fill="FFD3BF" w:themeFill="accent5" w:themeFillTint="3F"/>
      </w:tcPr>
    </w:tblStylePr>
  </w:style>
  <w:style w:type="table" w:styleId="Gemiddeldelijst1-accent6">
    <w:name w:val="Medium List 1 Accent 6"/>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C251B"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rPr>
        <w:sz w:val="24"/>
        <w:szCs w:val="24"/>
      </w:rPr>
      <w:tblPr/>
      <w:tcPr>
        <w:tcBorders>
          <w:top w:val="nil"/>
          <w:left w:val="nil"/>
          <w:bottom w:val="single" w:sz="24" w:space="0" w:color="0C251B" w:themeColor="accent1"/>
          <w:right w:val="nil"/>
          <w:insideH w:val="nil"/>
          <w:insideV w:val="nil"/>
        </w:tcBorders>
        <w:shd w:val="clear" w:color="auto" w:fill="FFFFFF" w:themeFill="background1"/>
      </w:tcPr>
    </w:tblStylePr>
    <w:tblStylePr w:type="lastRow">
      <w:tblPr/>
      <w:tcPr>
        <w:tcBorders>
          <w:top w:val="single" w:sz="8" w:space="0" w:color="0C251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51B" w:themeColor="accent1"/>
          <w:insideH w:val="nil"/>
          <w:insideV w:val="nil"/>
        </w:tcBorders>
        <w:shd w:val="clear" w:color="auto" w:fill="FFFFFF" w:themeFill="background1"/>
      </w:tcPr>
    </w:tblStylePr>
    <w:tblStylePr w:type="lastCol">
      <w:tblPr/>
      <w:tcPr>
        <w:tcBorders>
          <w:top w:val="nil"/>
          <w:left w:val="single" w:sz="8" w:space="0" w:color="0C251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top w:val="nil"/>
          <w:bottom w:val="nil"/>
          <w:insideH w:val="nil"/>
          <w:insideV w:val="nil"/>
        </w:tcBorders>
        <w:shd w:val="clear" w:color="auto" w:fill="A8E3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rPr>
        <w:sz w:val="24"/>
        <w:szCs w:val="24"/>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tblPr/>
      <w:tcPr>
        <w:tcBorders>
          <w:top w:val="single" w:sz="8" w:space="0" w:color="0040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028" w:themeColor="accent2"/>
          <w:insideH w:val="nil"/>
          <w:insideV w:val="nil"/>
        </w:tcBorders>
        <w:shd w:val="clear" w:color="auto" w:fill="FFFFFF" w:themeFill="background1"/>
      </w:tcPr>
    </w:tblStylePr>
    <w:tblStylePr w:type="lastCol">
      <w:tblPr/>
      <w:tcPr>
        <w:tcBorders>
          <w:top w:val="nil"/>
          <w:left w:val="single" w:sz="8" w:space="0" w:color="0040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top w:val="nil"/>
          <w:bottom w:val="nil"/>
          <w:insideH w:val="nil"/>
          <w:insideV w:val="nil"/>
        </w:tcBorders>
        <w:shd w:val="clear" w:color="auto" w:fill="90FFD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rPr>
        <w:sz w:val="24"/>
        <w:szCs w:val="24"/>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tblPr/>
      <w:tcPr>
        <w:tcBorders>
          <w:top w:val="single" w:sz="8" w:space="0" w:color="F7F7E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F7EE" w:themeColor="accent3"/>
          <w:insideH w:val="nil"/>
          <w:insideV w:val="nil"/>
        </w:tcBorders>
        <w:shd w:val="clear" w:color="auto" w:fill="FFFFFF" w:themeFill="background1"/>
      </w:tcPr>
    </w:tblStylePr>
    <w:tblStylePr w:type="lastCol">
      <w:tblPr/>
      <w:tcPr>
        <w:tcBorders>
          <w:top w:val="nil"/>
          <w:left w:val="single" w:sz="8" w:space="0" w:color="F7F7E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top w:val="nil"/>
          <w:bottom w:val="nil"/>
          <w:insideH w:val="nil"/>
          <w:insideV w:val="nil"/>
        </w:tcBorders>
        <w:shd w:val="clear" w:color="auto" w:fill="FDFD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rPr>
        <w:sz w:val="24"/>
        <w:szCs w:val="24"/>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tblPr/>
      <w:tcPr>
        <w:tcBorders>
          <w:top w:val="single" w:sz="8" w:space="0" w:color="F3EA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EAE1" w:themeColor="accent4"/>
          <w:insideH w:val="nil"/>
          <w:insideV w:val="nil"/>
        </w:tcBorders>
        <w:shd w:val="clear" w:color="auto" w:fill="FFFFFF" w:themeFill="background1"/>
      </w:tcPr>
    </w:tblStylePr>
    <w:tblStylePr w:type="lastCol">
      <w:tblPr/>
      <w:tcPr>
        <w:tcBorders>
          <w:top w:val="nil"/>
          <w:left w:val="single" w:sz="8" w:space="0" w:color="F3EA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top w:val="nil"/>
          <w:bottom w:val="nil"/>
          <w:insideH w:val="nil"/>
          <w:insideV w:val="nil"/>
        </w:tcBorders>
        <w:shd w:val="clear" w:color="auto" w:fill="FCF9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rPr>
        <w:sz w:val="24"/>
        <w:szCs w:val="24"/>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tblPr/>
      <w:tcPr>
        <w:tcBorders>
          <w:top w:val="single" w:sz="8" w:space="0" w:color="FC52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5200" w:themeColor="accent5"/>
          <w:insideH w:val="nil"/>
          <w:insideV w:val="nil"/>
        </w:tcBorders>
        <w:shd w:val="clear" w:color="auto" w:fill="FFFFFF" w:themeFill="background1"/>
      </w:tcPr>
    </w:tblStylePr>
    <w:tblStylePr w:type="lastCol">
      <w:tblPr/>
      <w:tcPr>
        <w:tcBorders>
          <w:top w:val="nil"/>
          <w:left w:val="single" w:sz="8" w:space="0" w:color="FC52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top w:val="nil"/>
          <w:bottom w:val="nil"/>
          <w:insideH w:val="nil"/>
          <w:insideV w:val="nil"/>
        </w:tcBorders>
        <w:shd w:val="clear" w:color="auto" w:fill="FFD3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61587E"/>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61587E"/>
    <w:rPr>
      <w:color w:val="0C251B" w:themeColor="followedHyperlink"/>
      <w:u w:val="single"/>
    </w:rPr>
  </w:style>
  <w:style w:type="paragraph" w:styleId="Handtekening">
    <w:name w:val="Signature"/>
    <w:basedOn w:val="Standaard"/>
    <w:link w:val="HandtekeningChar"/>
    <w:uiPriority w:val="59"/>
    <w:semiHidden/>
    <w:unhideWhenUsed/>
    <w:rsid w:val="0061587E"/>
    <w:pPr>
      <w:spacing w:line="240" w:lineRule="auto"/>
      <w:ind w:left="4252"/>
    </w:pPr>
  </w:style>
  <w:style w:type="character" w:customStyle="1" w:styleId="HandtekeningChar">
    <w:name w:val="Handtekening Char"/>
    <w:basedOn w:val="Standaardalinea-lettertype"/>
    <w:link w:val="Handtekening"/>
    <w:uiPriority w:val="59"/>
    <w:semiHidden/>
    <w:rsid w:val="0061587E"/>
    <w:rPr>
      <w:rFonts w:ascii="Merriweather" w:hAnsi="Merriweather"/>
      <w:kern w:val="0"/>
      <w:sz w:val="17"/>
      <w:szCs w:val="20"/>
      <w:lang w:val="en-US"/>
      <w14:ligatures w14:val="none"/>
    </w:rPr>
  </w:style>
  <w:style w:type="character" w:styleId="Hashtag">
    <w:name w:val="Hashtag"/>
    <w:basedOn w:val="Standaardalinea-lettertype"/>
    <w:uiPriority w:val="59"/>
    <w:semiHidden/>
    <w:unhideWhenUsed/>
    <w:rsid w:val="0061587E"/>
    <w:rPr>
      <w:color w:val="2B579A"/>
      <w:shd w:val="clear" w:color="auto" w:fill="E1DFDD"/>
    </w:rPr>
  </w:style>
  <w:style w:type="paragraph" w:styleId="HTML-voorafopgemaakt">
    <w:name w:val="HTML Preformatted"/>
    <w:basedOn w:val="Standaard"/>
    <w:link w:val="HTML-voorafopgemaaktChar"/>
    <w:uiPriority w:val="59"/>
    <w:semiHidden/>
    <w:unhideWhenUsed/>
    <w:rsid w:val="0061587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61587E"/>
    <w:rPr>
      <w:rFonts w:ascii="Consolas" w:hAnsi="Consolas"/>
      <w:kern w:val="0"/>
      <w:sz w:val="17"/>
      <w:szCs w:val="20"/>
      <w:lang w:val="en-US"/>
      <w14:ligatures w14:val="none"/>
    </w:rPr>
  </w:style>
  <w:style w:type="character" w:styleId="HTMLCode">
    <w:name w:val="HTML Code"/>
    <w:basedOn w:val="Standaardalinea-lettertype"/>
    <w:uiPriority w:val="59"/>
    <w:semiHidden/>
    <w:unhideWhenUsed/>
    <w:rsid w:val="0061587E"/>
    <w:rPr>
      <w:rFonts w:ascii="Consolas" w:hAnsi="Consolas"/>
      <w:sz w:val="20"/>
      <w:szCs w:val="20"/>
    </w:rPr>
  </w:style>
  <w:style w:type="character" w:styleId="HTMLDefinition">
    <w:name w:val="HTML Definition"/>
    <w:basedOn w:val="Standaardalinea-lettertype"/>
    <w:uiPriority w:val="59"/>
    <w:semiHidden/>
    <w:unhideWhenUsed/>
    <w:rsid w:val="0061587E"/>
    <w:rPr>
      <w:i/>
      <w:iCs/>
    </w:rPr>
  </w:style>
  <w:style w:type="character" w:styleId="HTMLVariable">
    <w:name w:val="HTML Variable"/>
    <w:basedOn w:val="Standaardalinea-lettertype"/>
    <w:uiPriority w:val="59"/>
    <w:semiHidden/>
    <w:unhideWhenUsed/>
    <w:rsid w:val="0061587E"/>
    <w:rPr>
      <w:i/>
      <w:iCs/>
    </w:rPr>
  </w:style>
  <w:style w:type="character" w:styleId="HTML-acroniem">
    <w:name w:val="HTML Acronym"/>
    <w:basedOn w:val="Standaardalinea-lettertype"/>
    <w:uiPriority w:val="59"/>
    <w:semiHidden/>
    <w:unhideWhenUsed/>
    <w:rsid w:val="0061587E"/>
  </w:style>
  <w:style w:type="paragraph" w:styleId="HTML-adres">
    <w:name w:val="HTML Address"/>
    <w:basedOn w:val="Standaard"/>
    <w:link w:val="HTML-adresChar"/>
    <w:uiPriority w:val="59"/>
    <w:semiHidden/>
    <w:unhideWhenUsed/>
    <w:rsid w:val="0061587E"/>
    <w:pPr>
      <w:spacing w:line="240" w:lineRule="auto"/>
    </w:pPr>
    <w:rPr>
      <w:i/>
      <w:iCs/>
    </w:rPr>
  </w:style>
  <w:style w:type="character" w:customStyle="1" w:styleId="HTML-adresChar">
    <w:name w:val="HTML-adres Char"/>
    <w:basedOn w:val="Standaardalinea-lettertype"/>
    <w:link w:val="HTML-adres"/>
    <w:uiPriority w:val="59"/>
    <w:semiHidden/>
    <w:rsid w:val="0061587E"/>
    <w:rPr>
      <w:rFonts w:ascii="Merriweather" w:hAnsi="Merriweather"/>
      <w:i/>
      <w:iCs/>
      <w:kern w:val="0"/>
      <w:sz w:val="17"/>
      <w:szCs w:val="20"/>
      <w:lang w:val="en-US"/>
      <w14:ligatures w14:val="none"/>
    </w:rPr>
  </w:style>
  <w:style w:type="character" w:styleId="HTML-citaat">
    <w:name w:val="HTML Cite"/>
    <w:basedOn w:val="Standaardalinea-lettertype"/>
    <w:uiPriority w:val="59"/>
    <w:semiHidden/>
    <w:unhideWhenUsed/>
    <w:rsid w:val="0061587E"/>
    <w:rPr>
      <w:i/>
      <w:iCs/>
    </w:rPr>
  </w:style>
  <w:style w:type="character" w:styleId="HTML-schrijfmachine">
    <w:name w:val="HTML Typewriter"/>
    <w:basedOn w:val="Standaardalinea-lettertype"/>
    <w:uiPriority w:val="59"/>
    <w:semiHidden/>
    <w:unhideWhenUsed/>
    <w:rsid w:val="0061587E"/>
    <w:rPr>
      <w:rFonts w:ascii="Consolas" w:hAnsi="Consolas"/>
      <w:sz w:val="20"/>
      <w:szCs w:val="20"/>
    </w:rPr>
  </w:style>
  <w:style w:type="character" w:styleId="HTML-toetsenbord">
    <w:name w:val="HTML Keyboard"/>
    <w:basedOn w:val="Standaardalinea-lettertype"/>
    <w:uiPriority w:val="59"/>
    <w:semiHidden/>
    <w:unhideWhenUsed/>
    <w:rsid w:val="0061587E"/>
    <w:rPr>
      <w:rFonts w:ascii="Consolas" w:hAnsi="Consolas"/>
      <w:sz w:val="20"/>
      <w:szCs w:val="20"/>
    </w:rPr>
  </w:style>
  <w:style w:type="character" w:styleId="HTML-voorbeeld">
    <w:name w:val="HTML Sample"/>
    <w:basedOn w:val="Standaardalinea-lettertype"/>
    <w:uiPriority w:val="59"/>
    <w:semiHidden/>
    <w:unhideWhenUsed/>
    <w:rsid w:val="0061587E"/>
    <w:rPr>
      <w:rFonts w:ascii="Consolas" w:hAnsi="Consolas"/>
      <w:sz w:val="24"/>
      <w:szCs w:val="24"/>
    </w:rPr>
  </w:style>
  <w:style w:type="character" w:styleId="Hyperlink">
    <w:name w:val="Hyperlink"/>
    <w:basedOn w:val="Standaardalinea-lettertype"/>
    <w:uiPriority w:val="59"/>
    <w:semiHidden/>
    <w:unhideWhenUsed/>
    <w:rsid w:val="0061587E"/>
    <w:rPr>
      <w:color w:val="0C251B" w:themeColor="hyperlink"/>
      <w:u w:val="single"/>
    </w:rPr>
  </w:style>
  <w:style w:type="paragraph" w:styleId="Index1">
    <w:name w:val="index 1"/>
    <w:basedOn w:val="Standaard"/>
    <w:next w:val="Standaard"/>
    <w:autoRedefine/>
    <w:uiPriority w:val="59"/>
    <w:semiHidden/>
    <w:unhideWhenUsed/>
    <w:rsid w:val="0061587E"/>
    <w:pPr>
      <w:spacing w:line="240" w:lineRule="auto"/>
      <w:ind w:left="200" w:hanging="200"/>
    </w:pPr>
  </w:style>
  <w:style w:type="paragraph" w:styleId="Index2">
    <w:name w:val="index 2"/>
    <w:basedOn w:val="Standaard"/>
    <w:next w:val="Standaard"/>
    <w:autoRedefine/>
    <w:uiPriority w:val="59"/>
    <w:semiHidden/>
    <w:unhideWhenUsed/>
    <w:rsid w:val="0061587E"/>
    <w:pPr>
      <w:spacing w:line="240" w:lineRule="auto"/>
      <w:ind w:left="400" w:hanging="200"/>
    </w:pPr>
  </w:style>
  <w:style w:type="paragraph" w:styleId="Index3">
    <w:name w:val="index 3"/>
    <w:basedOn w:val="Standaard"/>
    <w:next w:val="Standaard"/>
    <w:autoRedefine/>
    <w:uiPriority w:val="59"/>
    <w:semiHidden/>
    <w:unhideWhenUsed/>
    <w:rsid w:val="0061587E"/>
    <w:pPr>
      <w:spacing w:line="240" w:lineRule="auto"/>
      <w:ind w:left="600" w:hanging="200"/>
    </w:pPr>
  </w:style>
  <w:style w:type="paragraph" w:styleId="Index4">
    <w:name w:val="index 4"/>
    <w:basedOn w:val="Standaard"/>
    <w:next w:val="Standaard"/>
    <w:autoRedefine/>
    <w:uiPriority w:val="59"/>
    <w:semiHidden/>
    <w:unhideWhenUsed/>
    <w:rsid w:val="0061587E"/>
    <w:pPr>
      <w:spacing w:line="240" w:lineRule="auto"/>
      <w:ind w:left="800" w:hanging="200"/>
    </w:pPr>
  </w:style>
  <w:style w:type="paragraph" w:styleId="Index5">
    <w:name w:val="index 5"/>
    <w:basedOn w:val="Standaard"/>
    <w:next w:val="Standaard"/>
    <w:autoRedefine/>
    <w:uiPriority w:val="59"/>
    <w:semiHidden/>
    <w:unhideWhenUsed/>
    <w:rsid w:val="0061587E"/>
    <w:pPr>
      <w:spacing w:line="240" w:lineRule="auto"/>
      <w:ind w:left="1000" w:hanging="200"/>
    </w:pPr>
  </w:style>
  <w:style w:type="paragraph" w:styleId="Index6">
    <w:name w:val="index 6"/>
    <w:basedOn w:val="Standaard"/>
    <w:next w:val="Standaard"/>
    <w:autoRedefine/>
    <w:uiPriority w:val="59"/>
    <w:semiHidden/>
    <w:unhideWhenUsed/>
    <w:rsid w:val="0061587E"/>
    <w:pPr>
      <w:spacing w:line="240" w:lineRule="auto"/>
      <w:ind w:left="1200" w:hanging="200"/>
    </w:pPr>
  </w:style>
  <w:style w:type="paragraph" w:styleId="Index7">
    <w:name w:val="index 7"/>
    <w:basedOn w:val="Standaard"/>
    <w:next w:val="Standaard"/>
    <w:autoRedefine/>
    <w:uiPriority w:val="59"/>
    <w:semiHidden/>
    <w:unhideWhenUsed/>
    <w:rsid w:val="0061587E"/>
    <w:pPr>
      <w:spacing w:line="240" w:lineRule="auto"/>
      <w:ind w:left="1400" w:hanging="200"/>
    </w:pPr>
  </w:style>
  <w:style w:type="paragraph" w:styleId="Index8">
    <w:name w:val="index 8"/>
    <w:basedOn w:val="Standaard"/>
    <w:next w:val="Standaard"/>
    <w:autoRedefine/>
    <w:uiPriority w:val="59"/>
    <w:semiHidden/>
    <w:unhideWhenUsed/>
    <w:rsid w:val="0061587E"/>
    <w:pPr>
      <w:spacing w:line="240" w:lineRule="auto"/>
      <w:ind w:left="1600" w:hanging="200"/>
    </w:pPr>
  </w:style>
  <w:style w:type="paragraph" w:styleId="Index9">
    <w:name w:val="index 9"/>
    <w:basedOn w:val="Standaard"/>
    <w:next w:val="Standaard"/>
    <w:autoRedefine/>
    <w:uiPriority w:val="59"/>
    <w:semiHidden/>
    <w:unhideWhenUsed/>
    <w:rsid w:val="0061587E"/>
    <w:pPr>
      <w:spacing w:line="240" w:lineRule="auto"/>
      <w:ind w:left="1800" w:hanging="200"/>
    </w:pPr>
  </w:style>
  <w:style w:type="paragraph" w:styleId="Indexkop">
    <w:name w:val="index heading"/>
    <w:basedOn w:val="Standaard"/>
    <w:next w:val="Index1"/>
    <w:uiPriority w:val="59"/>
    <w:semiHidden/>
    <w:unhideWhenUsed/>
    <w:rsid w:val="0061587E"/>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61587E"/>
    <w:pPr>
      <w:spacing w:after="100"/>
    </w:pPr>
  </w:style>
  <w:style w:type="paragraph" w:styleId="Inhopg2">
    <w:name w:val="toc 2"/>
    <w:basedOn w:val="Standaard"/>
    <w:next w:val="Standaard"/>
    <w:autoRedefine/>
    <w:uiPriority w:val="59"/>
    <w:semiHidden/>
    <w:unhideWhenUsed/>
    <w:rsid w:val="0061587E"/>
    <w:pPr>
      <w:spacing w:after="100"/>
      <w:ind w:left="200"/>
    </w:pPr>
  </w:style>
  <w:style w:type="paragraph" w:styleId="Inhopg3">
    <w:name w:val="toc 3"/>
    <w:basedOn w:val="Standaard"/>
    <w:next w:val="Standaard"/>
    <w:autoRedefine/>
    <w:uiPriority w:val="59"/>
    <w:semiHidden/>
    <w:unhideWhenUsed/>
    <w:rsid w:val="0061587E"/>
    <w:pPr>
      <w:spacing w:after="100"/>
      <w:ind w:left="400"/>
    </w:pPr>
  </w:style>
  <w:style w:type="paragraph" w:styleId="Inhopg4">
    <w:name w:val="toc 4"/>
    <w:basedOn w:val="Standaard"/>
    <w:next w:val="Standaard"/>
    <w:autoRedefine/>
    <w:uiPriority w:val="59"/>
    <w:semiHidden/>
    <w:unhideWhenUsed/>
    <w:rsid w:val="0061587E"/>
    <w:pPr>
      <w:spacing w:after="100"/>
      <w:ind w:left="600"/>
    </w:pPr>
  </w:style>
  <w:style w:type="paragraph" w:styleId="Inhopg5">
    <w:name w:val="toc 5"/>
    <w:basedOn w:val="Standaard"/>
    <w:next w:val="Standaard"/>
    <w:autoRedefine/>
    <w:uiPriority w:val="59"/>
    <w:semiHidden/>
    <w:unhideWhenUsed/>
    <w:rsid w:val="0061587E"/>
    <w:pPr>
      <w:spacing w:after="100"/>
      <w:ind w:left="800"/>
    </w:pPr>
  </w:style>
  <w:style w:type="paragraph" w:styleId="Inhopg6">
    <w:name w:val="toc 6"/>
    <w:basedOn w:val="Standaard"/>
    <w:next w:val="Standaard"/>
    <w:autoRedefine/>
    <w:uiPriority w:val="59"/>
    <w:semiHidden/>
    <w:unhideWhenUsed/>
    <w:rsid w:val="0061587E"/>
    <w:pPr>
      <w:spacing w:after="100"/>
      <w:ind w:left="1000"/>
    </w:pPr>
  </w:style>
  <w:style w:type="paragraph" w:styleId="Inhopg7">
    <w:name w:val="toc 7"/>
    <w:basedOn w:val="Standaard"/>
    <w:next w:val="Standaard"/>
    <w:autoRedefine/>
    <w:uiPriority w:val="59"/>
    <w:semiHidden/>
    <w:unhideWhenUsed/>
    <w:rsid w:val="0061587E"/>
    <w:pPr>
      <w:spacing w:after="100"/>
      <w:ind w:left="1200"/>
    </w:pPr>
  </w:style>
  <w:style w:type="paragraph" w:styleId="Inhopg8">
    <w:name w:val="toc 8"/>
    <w:basedOn w:val="Standaard"/>
    <w:next w:val="Standaard"/>
    <w:autoRedefine/>
    <w:uiPriority w:val="59"/>
    <w:semiHidden/>
    <w:unhideWhenUsed/>
    <w:rsid w:val="0061587E"/>
    <w:pPr>
      <w:spacing w:after="100"/>
      <w:ind w:left="1400"/>
    </w:pPr>
  </w:style>
  <w:style w:type="paragraph" w:styleId="Inhopg9">
    <w:name w:val="toc 9"/>
    <w:basedOn w:val="Standaard"/>
    <w:next w:val="Standaard"/>
    <w:autoRedefine/>
    <w:uiPriority w:val="59"/>
    <w:semiHidden/>
    <w:unhideWhenUsed/>
    <w:rsid w:val="0061587E"/>
    <w:pPr>
      <w:spacing w:after="100"/>
      <w:ind w:left="1600"/>
    </w:pPr>
  </w:style>
  <w:style w:type="table" w:styleId="Klassieketabel1">
    <w:name w:val="Table Classic 1"/>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61587E"/>
    <w:pPr>
      <w:spacing w:after="0" w:line="252" w:lineRule="auto"/>
    </w:pPr>
    <w:rPr>
      <w:color w:val="000080"/>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B9E8D5" w:themeFill="accent1" w:themeFillTint="33"/>
    </w:tcPr>
    <w:tblStylePr w:type="firstRow">
      <w:rPr>
        <w:b/>
        <w:bCs/>
      </w:rPr>
      <w:tblPr/>
      <w:tcPr>
        <w:shd w:val="clear" w:color="auto" w:fill="73D1AC" w:themeFill="accent1" w:themeFillTint="66"/>
      </w:tcPr>
    </w:tblStylePr>
    <w:tblStylePr w:type="lastRow">
      <w:rPr>
        <w:b/>
        <w:bCs/>
        <w:color w:val="000000" w:themeColor="text1"/>
      </w:rPr>
      <w:tblPr/>
      <w:tcPr>
        <w:shd w:val="clear" w:color="auto" w:fill="73D1AC" w:themeFill="accent1" w:themeFillTint="66"/>
      </w:tcPr>
    </w:tblStylePr>
    <w:tblStylePr w:type="firstCol">
      <w:rPr>
        <w:color w:val="FFFFFF" w:themeColor="background1"/>
      </w:rPr>
      <w:tblPr/>
      <w:tcPr>
        <w:shd w:val="clear" w:color="auto" w:fill="091B14" w:themeFill="accent1" w:themeFillShade="BF"/>
      </w:tcPr>
    </w:tblStylePr>
    <w:tblStylePr w:type="lastCol">
      <w:rPr>
        <w:color w:val="FFFFFF" w:themeColor="background1"/>
      </w:rPr>
      <w:tblPr/>
      <w:tcPr>
        <w:shd w:val="clear" w:color="auto" w:fill="091B14" w:themeFill="accent1" w:themeFillShade="BF"/>
      </w:tc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Kleurrijkraster-accent2">
    <w:name w:val="Colorful Grid Accent 2"/>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A5FFDD" w:themeFill="accent2" w:themeFillTint="33"/>
    </w:tcPr>
    <w:tblStylePr w:type="firstRow">
      <w:rPr>
        <w:b/>
        <w:bCs/>
      </w:rPr>
      <w:tblPr/>
      <w:tcPr>
        <w:shd w:val="clear" w:color="auto" w:fill="4CFFBB" w:themeFill="accent2" w:themeFillTint="66"/>
      </w:tcPr>
    </w:tblStylePr>
    <w:tblStylePr w:type="lastRow">
      <w:rPr>
        <w:b/>
        <w:bCs/>
        <w:color w:val="000000" w:themeColor="text1"/>
      </w:rPr>
      <w:tblPr/>
      <w:tcPr>
        <w:shd w:val="clear" w:color="auto" w:fill="4CFFBB" w:themeFill="accent2" w:themeFillTint="66"/>
      </w:tcPr>
    </w:tblStylePr>
    <w:tblStylePr w:type="firstCol">
      <w:rPr>
        <w:color w:val="FFFFFF" w:themeColor="background1"/>
      </w:rPr>
      <w:tblPr/>
      <w:tcPr>
        <w:shd w:val="clear" w:color="auto" w:fill="002F1D" w:themeFill="accent2" w:themeFillShade="BF"/>
      </w:tcPr>
    </w:tblStylePr>
    <w:tblStylePr w:type="lastCol">
      <w:rPr>
        <w:color w:val="FFFFFF" w:themeColor="background1"/>
      </w:rPr>
      <w:tblPr/>
      <w:tcPr>
        <w:shd w:val="clear" w:color="auto" w:fill="002F1D" w:themeFill="accent2" w:themeFillShade="BF"/>
      </w:tc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Kleurrijkraster-accent3">
    <w:name w:val="Colorful Grid Accent 3"/>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DFDFB" w:themeFill="accent3" w:themeFillTint="33"/>
    </w:tcPr>
    <w:tblStylePr w:type="firstRow">
      <w:rPr>
        <w:b/>
        <w:bCs/>
      </w:rPr>
      <w:tblPr/>
      <w:tcPr>
        <w:shd w:val="clear" w:color="auto" w:fill="FBFBF8" w:themeFill="accent3" w:themeFillTint="66"/>
      </w:tcPr>
    </w:tblStylePr>
    <w:tblStylePr w:type="lastRow">
      <w:rPr>
        <w:b/>
        <w:bCs/>
        <w:color w:val="000000" w:themeColor="text1"/>
      </w:rPr>
      <w:tblPr/>
      <w:tcPr>
        <w:shd w:val="clear" w:color="auto" w:fill="FBFBF8" w:themeFill="accent3" w:themeFillTint="66"/>
      </w:tcPr>
    </w:tblStylePr>
    <w:tblStylePr w:type="firstCol">
      <w:rPr>
        <w:color w:val="FFFFFF" w:themeColor="background1"/>
      </w:rPr>
      <w:tblPr/>
      <w:tcPr>
        <w:shd w:val="clear" w:color="auto" w:fill="D0D09B" w:themeFill="accent3" w:themeFillShade="BF"/>
      </w:tcPr>
    </w:tblStylePr>
    <w:tblStylePr w:type="lastCol">
      <w:rPr>
        <w:color w:val="FFFFFF" w:themeColor="background1"/>
      </w:rPr>
      <w:tblPr/>
      <w:tcPr>
        <w:shd w:val="clear" w:color="auto" w:fill="D0D09B" w:themeFill="accent3" w:themeFillShade="BF"/>
      </w:tc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Kleurrijkraster-accent4">
    <w:name w:val="Colorful Grid Accent 4"/>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CFAF8" w:themeFill="accent4" w:themeFillTint="33"/>
    </w:tcPr>
    <w:tblStylePr w:type="firstRow">
      <w:rPr>
        <w:b/>
        <w:bCs/>
      </w:rPr>
      <w:tblPr/>
      <w:tcPr>
        <w:shd w:val="clear" w:color="auto" w:fill="FAF6F2" w:themeFill="accent4" w:themeFillTint="66"/>
      </w:tcPr>
    </w:tblStylePr>
    <w:tblStylePr w:type="lastRow">
      <w:rPr>
        <w:b/>
        <w:bCs/>
        <w:color w:val="000000" w:themeColor="text1"/>
      </w:rPr>
      <w:tblPr/>
      <w:tcPr>
        <w:shd w:val="clear" w:color="auto" w:fill="FAF6F2" w:themeFill="accent4" w:themeFillTint="66"/>
      </w:tcPr>
    </w:tblStylePr>
    <w:tblStylePr w:type="firstCol">
      <w:rPr>
        <w:color w:val="FFFFFF" w:themeColor="background1"/>
      </w:rPr>
      <w:tblPr/>
      <w:tcPr>
        <w:shd w:val="clear" w:color="auto" w:fill="D1AF8C" w:themeFill="accent4" w:themeFillShade="BF"/>
      </w:tcPr>
    </w:tblStylePr>
    <w:tblStylePr w:type="lastCol">
      <w:rPr>
        <w:color w:val="FFFFFF" w:themeColor="background1"/>
      </w:rPr>
      <w:tblPr/>
      <w:tcPr>
        <w:shd w:val="clear" w:color="auto" w:fill="D1AF8C" w:themeFill="accent4" w:themeFillShade="BF"/>
      </w:tc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Kleurrijkraster-accent5">
    <w:name w:val="Colorful Grid Accent 5"/>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DBCB" w:themeFill="accent5" w:themeFillTint="33"/>
    </w:tcPr>
    <w:tblStylePr w:type="firstRow">
      <w:rPr>
        <w:b/>
        <w:bCs/>
      </w:rPr>
      <w:tblPr/>
      <w:tcPr>
        <w:shd w:val="clear" w:color="auto" w:fill="FFB897" w:themeFill="accent5" w:themeFillTint="66"/>
      </w:tcPr>
    </w:tblStylePr>
    <w:tblStylePr w:type="lastRow">
      <w:rPr>
        <w:b/>
        <w:bCs/>
        <w:color w:val="000000" w:themeColor="text1"/>
      </w:rPr>
      <w:tblPr/>
      <w:tcPr>
        <w:shd w:val="clear" w:color="auto" w:fill="FFB897" w:themeFill="accent5" w:themeFillTint="66"/>
      </w:tcPr>
    </w:tblStylePr>
    <w:tblStylePr w:type="firstCol">
      <w:rPr>
        <w:color w:val="FFFFFF" w:themeColor="background1"/>
      </w:rPr>
      <w:tblPr/>
      <w:tcPr>
        <w:shd w:val="clear" w:color="auto" w:fill="BC3C00" w:themeFill="accent5" w:themeFillShade="BF"/>
      </w:tcPr>
    </w:tblStylePr>
    <w:tblStylePr w:type="lastCol">
      <w:rPr>
        <w:color w:val="FFFFFF" w:themeColor="background1"/>
      </w:rPr>
      <w:tblPr/>
      <w:tcPr>
        <w:shd w:val="clear" w:color="auto" w:fill="BC3C00" w:themeFill="accent5" w:themeFillShade="BF"/>
      </w:tc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Kleurrijkraster-accent6">
    <w:name w:val="Colorful Grid Accent 6"/>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arcering">
    <w:name w:val="Colorful Shading"/>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C251B" w:themeColor="accent1"/>
        <w:bottom w:val="single" w:sz="4" w:space="0" w:color="0C251B" w:themeColor="accent1"/>
        <w:right w:val="single" w:sz="4" w:space="0" w:color="0C251B" w:themeColor="accent1"/>
        <w:insideH w:val="single" w:sz="4" w:space="0" w:color="FFFFFF" w:themeColor="background1"/>
        <w:insideV w:val="single" w:sz="4" w:space="0" w:color="FFFFFF" w:themeColor="background1"/>
      </w:tblBorders>
    </w:tblPr>
    <w:tcPr>
      <w:shd w:val="clear" w:color="auto" w:fill="DCF4EA" w:themeFill="accen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610" w:themeFill="accent1" w:themeFillShade="99"/>
      </w:tcPr>
    </w:tblStylePr>
    <w:tblStylePr w:type="firstCol">
      <w:rPr>
        <w:color w:val="FFFFFF" w:themeColor="background1"/>
      </w:rPr>
      <w:tblPr/>
      <w:tcPr>
        <w:tcBorders>
          <w:top w:val="nil"/>
          <w:left w:val="nil"/>
          <w:bottom w:val="nil"/>
          <w:right w:val="nil"/>
          <w:insideH w:val="single" w:sz="4" w:space="0" w:color="071610" w:themeColor="accent1" w:themeShade="99"/>
          <w:insideV w:val="nil"/>
        </w:tcBorders>
        <w:shd w:val="clear" w:color="auto" w:fill="0716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610" w:themeFill="accent1" w:themeFillShade="99"/>
      </w:tcPr>
    </w:tblStylePr>
    <w:tblStylePr w:type="band1Vert">
      <w:tblPr/>
      <w:tcPr>
        <w:shd w:val="clear" w:color="auto" w:fill="73D1AC" w:themeFill="accent1" w:themeFillTint="66"/>
      </w:tcPr>
    </w:tblStylePr>
    <w:tblStylePr w:type="band1Horz">
      <w:tblPr/>
      <w:tcPr>
        <w:shd w:val="clear" w:color="auto" w:fill="51C69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4028" w:themeColor="accent2"/>
        <w:bottom w:val="single" w:sz="4" w:space="0" w:color="004028" w:themeColor="accent2"/>
        <w:right w:val="single" w:sz="4" w:space="0" w:color="004028" w:themeColor="accent2"/>
        <w:insideH w:val="single" w:sz="4" w:space="0" w:color="FFFFFF" w:themeColor="background1"/>
        <w:insideV w:val="single" w:sz="4" w:space="0" w:color="FFFFFF" w:themeColor="background1"/>
      </w:tblBorders>
    </w:tblPr>
    <w:tcPr>
      <w:shd w:val="clear" w:color="auto" w:fill="D3FFEE" w:themeFill="accent2"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617" w:themeFill="accent2" w:themeFillShade="99"/>
      </w:tcPr>
    </w:tblStylePr>
    <w:tblStylePr w:type="firstCol">
      <w:rPr>
        <w:color w:val="FFFFFF" w:themeColor="background1"/>
      </w:rPr>
      <w:tblPr/>
      <w:tcPr>
        <w:tcBorders>
          <w:top w:val="nil"/>
          <w:left w:val="nil"/>
          <w:bottom w:val="nil"/>
          <w:right w:val="nil"/>
          <w:insideH w:val="single" w:sz="4" w:space="0" w:color="002617" w:themeColor="accent2" w:themeShade="99"/>
          <w:insideV w:val="nil"/>
        </w:tcBorders>
        <w:shd w:val="clear" w:color="auto" w:fill="0026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617" w:themeFill="accent2" w:themeFillShade="99"/>
      </w:tcPr>
    </w:tblStylePr>
    <w:tblStylePr w:type="band1Vert">
      <w:tblPr/>
      <w:tcPr>
        <w:shd w:val="clear" w:color="auto" w:fill="4CFFBB" w:themeFill="accent2" w:themeFillTint="66"/>
      </w:tcPr>
    </w:tblStylePr>
    <w:tblStylePr w:type="band1Horz">
      <w:tblPr/>
      <w:tcPr>
        <w:shd w:val="clear" w:color="auto" w:fill="20FFAB"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3EAE1" w:themeColor="accent4"/>
        <w:left w:val="single" w:sz="4" w:space="0" w:color="F7F7EE" w:themeColor="accent3"/>
        <w:bottom w:val="single" w:sz="4" w:space="0" w:color="F7F7EE" w:themeColor="accent3"/>
        <w:right w:val="single" w:sz="4" w:space="0" w:color="F7F7EE" w:themeColor="accent3"/>
        <w:insideH w:val="single" w:sz="4" w:space="0" w:color="FFFFFF" w:themeColor="background1"/>
        <w:insideV w:val="single" w:sz="4" w:space="0" w:color="FFFFFF" w:themeColor="background1"/>
      </w:tblBorders>
    </w:tblPr>
    <w:tcPr>
      <w:shd w:val="clear" w:color="auto" w:fill="FEFEFD" w:themeFill="accent3" w:themeFillTint="19"/>
    </w:tcPr>
    <w:tblStylePr w:type="firstRow">
      <w:rPr>
        <w:b/>
        <w:bCs/>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B96A" w:themeFill="accent3" w:themeFillShade="99"/>
      </w:tcPr>
    </w:tblStylePr>
    <w:tblStylePr w:type="firstCol">
      <w:rPr>
        <w:color w:val="FFFFFF" w:themeColor="background1"/>
      </w:rPr>
      <w:tblPr/>
      <w:tcPr>
        <w:tcBorders>
          <w:top w:val="nil"/>
          <w:left w:val="nil"/>
          <w:bottom w:val="nil"/>
          <w:right w:val="nil"/>
          <w:insideH w:val="single" w:sz="4" w:space="0" w:color="B9B96A" w:themeColor="accent3" w:themeShade="99"/>
          <w:insideV w:val="nil"/>
        </w:tcBorders>
        <w:shd w:val="clear" w:color="auto" w:fill="B9B9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9B96A" w:themeFill="accent3" w:themeFillShade="99"/>
      </w:tcPr>
    </w:tblStylePr>
    <w:tblStylePr w:type="band1Vert">
      <w:tblPr/>
      <w:tcPr>
        <w:shd w:val="clear" w:color="auto" w:fill="FBFBF8" w:themeFill="accent3" w:themeFillTint="66"/>
      </w:tcPr>
    </w:tblStylePr>
    <w:tblStylePr w:type="band1Horz">
      <w:tblPr/>
      <w:tcPr>
        <w:shd w:val="clear" w:color="auto" w:fill="FBFBF6" w:themeFill="accent3" w:themeFillTint="7F"/>
      </w:tcPr>
    </w:tblStylePr>
  </w:style>
  <w:style w:type="table" w:styleId="Kleurrijkearcering-accent4">
    <w:name w:val="Colorful Shading Accent 4"/>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7F7EE" w:themeColor="accent3"/>
        <w:left w:val="single" w:sz="4" w:space="0" w:color="F3EAE1" w:themeColor="accent4"/>
        <w:bottom w:val="single" w:sz="4" w:space="0" w:color="F3EAE1" w:themeColor="accent4"/>
        <w:right w:val="single" w:sz="4" w:space="0" w:color="F3EAE1" w:themeColor="accent4"/>
        <w:insideH w:val="single" w:sz="4" w:space="0" w:color="FFFFFF" w:themeColor="background1"/>
        <w:insideV w:val="single" w:sz="4" w:space="0" w:color="FFFFFF" w:themeColor="background1"/>
      </w:tblBorders>
    </w:tblPr>
    <w:tcPr>
      <w:shd w:val="clear" w:color="auto" w:fill="FDFCFB" w:themeFill="accent4" w:themeFillTint="19"/>
    </w:tcPr>
    <w:tblStylePr w:type="firstRow">
      <w:rPr>
        <w:b/>
        <w:bCs/>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D8C5B" w:themeFill="accent4" w:themeFillShade="99"/>
      </w:tcPr>
    </w:tblStylePr>
    <w:tblStylePr w:type="firstCol">
      <w:rPr>
        <w:color w:val="FFFFFF" w:themeColor="background1"/>
      </w:rPr>
      <w:tblPr/>
      <w:tcPr>
        <w:tcBorders>
          <w:top w:val="nil"/>
          <w:left w:val="nil"/>
          <w:bottom w:val="nil"/>
          <w:right w:val="nil"/>
          <w:insideH w:val="single" w:sz="4" w:space="0" w:color="BD8C5B" w:themeColor="accent4" w:themeShade="99"/>
          <w:insideV w:val="nil"/>
        </w:tcBorders>
        <w:shd w:val="clear" w:color="auto" w:fill="BD8C5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D8C5B" w:themeFill="accent4" w:themeFillShade="99"/>
      </w:tcPr>
    </w:tblStylePr>
    <w:tblStylePr w:type="band1Vert">
      <w:tblPr/>
      <w:tcPr>
        <w:shd w:val="clear" w:color="auto" w:fill="FAF6F2" w:themeFill="accent4" w:themeFillTint="66"/>
      </w:tcPr>
    </w:tblStylePr>
    <w:tblStylePr w:type="band1Horz">
      <w:tblPr/>
      <w:tcPr>
        <w:shd w:val="clear" w:color="auto" w:fill="F9F4F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FFFFF" w:themeColor="accent6"/>
        <w:left w:val="single" w:sz="4" w:space="0" w:color="FC5200" w:themeColor="accent5"/>
        <w:bottom w:val="single" w:sz="4" w:space="0" w:color="FC5200" w:themeColor="accent5"/>
        <w:right w:val="single" w:sz="4" w:space="0" w:color="FC5200" w:themeColor="accent5"/>
        <w:insideH w:val="single" w:sz="4" w:space="0" w:color="FFFFFF" w:themeColor="background1"/>
        <w:insideV w:val="single" w:sz="4" w:space="0" w:color="FFFFFF" w:themeColor="background1"/>
      </w:tblBorders>
    </w:tblPr>
    <w:tcPr>
      <w:shd w:val="clear" w:color="auto" w:fill="FFEDE5"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000" w:themeFill="accent5" w:themeFillShade="99"/>
      </w:tcPr>
    </w:tblStylePr>
    <w:tblStylePr w:type="firstCol">
      <w:rPr>
        <w:color w:val="FFFFFF" w:themeColor="background1"/>
      </w:rPr>
      <w:tblPr/>
      <w:tcPr>
        <w:tcBorders>
          <w:top w:val="nil"/>
          <w:left w:val="nil"/>
          <w:bottom w:val="nil"/>
          <w:right w:val="nil"/>
          <w:insideH w:val="single" w:sz="4" w:space="0" w:color="973000" w:themeColor="accent5" w:themeShade="99"/>
          <w:insideV w:val="nil"/>
        </w:tcBorders>
        <w:shd w:val="clear" w:color="auto" w:fill="973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73000" w:themeFill="accent5" w:themeFillShade="99"/>
      </w:tcPr>
    </w:tblStylePr>
    <w:tblStylePr w:type="band1Vert">
      <w:tblPr/>
      <w:tcPr>
        <w:shd w:val="clear" w:color="auto" w:fill="FFB897" w:themeFill="accent5" w:themeFillTint="66"/>
      </w:tcPr>
    </w:tblStylePr>
    <w:tblStylePr w:type="band1Horz">
      <w:tblPr/>
      <w:tcPr>
        <w:shd w:val="clear" w:color="auto" w:fill="FFA77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C5200"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DCF4EA" w:themeFill="accen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3CB" w:themeFill="accent1" w:themeFillTint="3F"/>
      </w:tcPr>
    </w:tblStylePr>
    <w:tblStylePr w:type="band1Horz">
      <w:tblPr/>
      <w:tcPr>
        <w:shd w:val="clear" w:color="auto" w:fill="B9E8D5" w:themeFill="accent1" w:themeFillTint="33"/>
      </w:tcPr>
    </w:tblStylePr>
  </w:style>
  <w:style w:type="table" w:styleId="Kleurrijkelijst-accent2">
    <w:name w:val="Colorful List Accent 2"/>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D3FFEE" w:themeFill="accent2"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FFD5" w:themeFill="accent2" w:themeFillTint="3F"/>
      </w:tcPr>
    </w:tblStylePr>
    <w:tblStylePr w:type="band1Horz">
      <w:tblPr/>
      <w:tcPr>
        <w:shd w:val="clear" w:color="auto" w:fill="A5FFDD" w:themeFill="accent2" w:themeFillTint="33"/>
      </w:tcPr>
    </w:tblStylePr>
  </w:style>
  <w:style w:type="table" w:styleId="Kleurrijkelijst-accent3">
    <w:name w:val="Colorful List Accent 3"/>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FEFEFD" w:themeFill="accent3" w:themeFillTint="19"/>
    </w:tcPr>
    <w:tblStylePr w:type="firstRow">
      <w:rPr>
        <w:b/>
        <w:bCs/>
        <w:color w:val="FFFFFF" w:themeColor="background1"/>
      </w:rPr>
      <w:tblPr/>
      <w:tcPr>
        <w:tcBorders>
          <w:bottom w:val="single" w:sz="12" w:space="0" w:color="FFFFFF" w:themeColor="background1"/>
        </w:tcBorders>
        <w:shd w:val="clear" w:color="auto" w:fill="D8BB9E" w:themeFill="accent4" w:themeFillShade="CC"/>
      </w:tcPr>
    </w:tblStylePr>
    <w:tblStylePr w:type="lastRow">
      <w:rPr>
        <w:b/>
        <w:bCs/>
        <w:color w:val="D8BB9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DFA" w:themeFill="accent3" w:themeFillTint="3F"/>
      </w:tcPr>
    </w:tblStylePr>
    <w:tblStylePr w:type="band1Horz">
      <w:tblPr/>
      <w:tcPr>
        <w:shd w:val="clear" w:color="auto" w:fill="FDFDFB" w:themeFill="accent3" w:themeFillTint="33"/>
      </w:tcPr>
    </w:tblStylePr>
  </w:style>
  <w:style w:type="table" w:styleId="Kleurrijkelijst-accent4">
    <w:name w:val="Colorful List Accent 4"/>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FDFCFB" w:themeFill="accent4" w:themeFillTint="19"/>
    </w:tcPr>
    <w:tblStylePr w:type="firstRow">
      <w:rPr>
        <w:b/>
        <w:bCs/>
        <w:color w:val="FFFFFF" w:themeColor="background1"/>
      </w:rPr>
      <w:tblPr/>
      <w:tcPr>
        <w:tcBorders>
          <w:bottom w:val="single" w:sz="12" w:space="0" w:color="FFFFFF" w:themeColor="background1"/>
        </w:tcBorders>
        <w:shd w:val="clear" w:color="auto" w:fill="D8D8AC" w:themeFill="accent3" w:themeFillShade="CC"/>
      </w:tcPr>
    </w:tblStylePr>
    <w:tblStylePr w:type="lastRow">
      <w:rPr>
        <w:b/>
        <w:bCs/>
        <w:color w:val="D8D8A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F7" w:themeFill="accent4" w:themeFillTint="3F"/>
      </w:tcPr>
    </w:tblStylePr>
    <w:tblStylePr w:type="band1Horz">
      <w:tblPr/>
      <w:tcPr>
        <w:shd w:val="clear" w:color="auto" w:fill="FCFAF8" w:themeFill="accent4" w:themeFillTint="33"/>
      </w:tcPr>
    </w:tblStylePr>
  </w:style>
  <w:style w:type="table" w:styleId="Kleurrijkelijst-accent5">
    <w:name w:val="Colorful List Accent 5"/>
    <w:basedOn w:val="Standaardtabel"/>
    <w:uiPriority w:val="59"/>
    <w:semiHidden/>
    <w:unhideWhenUsed/>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FFEDE5"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3BF" w:themeFill="accent5" w:themeFillTint="3F"/>
      </w:tcPr>
    </w:tblStylePr>
    <w:tblStylePr w:type="band1Horz">
      <w:tblPr/>
      <w:tcPr>
        <w:shd w:val="clear" w:color="auto" w:fill="FFDBCB" w:themeFill="accent5" w:themeFillTint="33"/>
      </w:tcPr>
    </w:tblStylePr>
  </w:style>
  <w:style w:type="table" w:styleId="Kleurrijkelijst-accent6">
    <w:name w:val="Colorful List Accent 6"/>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94000" w:themeFill="accent5" w:themeFillShade="CC"/>
      </w:tcPr>
    </w:tblStylePr>
    <w:tblStylePr w:type="lastRow">
      <w:rPr>
        <w:b/>
        <w:bCs/>
        <w:color w:val="C94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tabel1">
    <w:name w:val="Table Colorful 1"/>
    <w:basedOn w:val="Standaardtabel"/>
    <w:uiPriority w:val="59"/>
    <w:semiHidden/>
    <w:unhideWhenUsed/>
    <w:rsid w:val="0061587E"/>
    <w:pPr>
      <w:spacing w:after="0" w:line="252" w:lineRule="auto"/>
    </w:pPr>
    <w:rPr>
      <w:color w:val="FFFFFF"/>
      <w:kern w:val="0"/>
      <w:sz w:val="20"/>
      <w:szCs w:val="20"/>
      <w:lang w:val="en-US"/>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61587E"/>
    <w:pPr>
      <w:spacing w:after="0" w:line="252" w:lineRule="auto"/>
    </w:pPr>
    <w:rPr>
      <w:kern w:val="0"/>
      <w:sz w:val="20"/>
      <w:szCs w:val="20"/>
      <w:lang w:val="en-US"/>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61587E"/>
    <w:pPr>
      <w:spacing w:after="0" w:line="252" w:lineRule="auto"/>
    </w:pPr>
    <w:rPr>
      <w:kern w:val="0"/>
      <w:sz w:val="20"/>
      <w:szCs w:val="20"/>
      <w:lang w:val="en-US"/>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61587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61587E"/>
    <w:pPr>
      <w:numPr>
        <w:numId w:val="0"/>
      </w:numPr>
      <w:spacing w:before="240" w:after="0"/>
      <w:outlineLvl w:val="9"/>
    </w:pPr>
    <w:rPr>
      <w:b w:val="0"/>
      <w:caps w:val="0"/>
      <w:color w:val="091B14" w:themeColor="accent1" w:themeShade="BF"/>
      <w:sz w:val="32"/>
      <w:lang w:val="en-US"/>
    </w:rPr>
  </w:style>
  <w:style w:type="table" w:styleId="Lichtraster">
    <w:name w:val="Light Grid"/>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18" w:space="0" w:color="0C251B" w:themeColor="accent1"/>
          <w:right w:val="single" w:sz="8" w:space="0" w:color="0C251B" w:themeColor="accent1"/>
          <w:insideH w:val="nil"/>
          <w:insideV w:val="single" w:sz="8" w:space="0" w:color="0C251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insideH w:val="nil"/>
          <w:insideV w:val="single" w:sz="8" w:space="0" w:color="0C251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shd w:val="clear" w:color="auto" w:fill="A8E3CB" w:themeFill="accent1" w:themeFillTint="3F"/>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shd w:val="clear" w:color="auto" w:fill="A8E3CB" w:themeFill="accent1" w:themeFillTint="3F"/>
      </w:tcPr>
    </w:tblStylePr>
    <w:tblStylePr w:type="band2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tcPr>
    </w:tblStylePr>
  </w:style>
  <w:style w:type="table" w:styleId="Lichtraster-accent2">
    <w:name w:val="Light Grid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18" w:space="0" w:color="004028" w:themeColor="accent2"/>
          <w:right w:val="single" w:sz="8" w:space="0" w:color="004028" w:themeColor="accent2"/>
          <w:insideH w:val="nil"/>
          <w:insideV w:val="single" w:sz="8" w:space="0" w:color="00402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insideH w:val="nil"/>
          <w:insideV w:val="single" w:sz="8" w:space="0" w:color="00402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shd w:val="clear" w:color="auto" w:fill="90FFD5" w:themeFill="accent2" w:themeFillTint="3F"/>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shd w:val="clear" w:color="auto" w:fill="90FFD5" w:themeFill="accent2" w:themeFillTint="3F"/>
      </w:tcPr>
    </w:tblStylePr>
    <w:tblStylePr w:type="band2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tcPr>
    </w:tblStylePr>
  </w:style>
  <w:style w:type="table" w:styleId="Lichtraster-accent3">
    <w:name w:val="Light Grid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18" w:space="0" w:color="F7F7EE" w:themeColor="accent3"/>
          <w:right w:val="single" w:sz="8" w:space="0" w:color="F7F7EE" w:themeColor="accent3"/>
          <w:insideH w:val="nil"/>
          <w:insideV w:val="single" w:sz="8" w:space="0" w:color="F7F7E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insideH w:val="nil"/>
          <w:insideV w:val="single" w:sz="8" w:space="0" w:color="F7F7E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shd w:val="clear" w:color="auto" w:fill="FDFDFA" w:themeFill="accent3" w:themeFillTint="3F"/>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shd w:val="clear" w:color="auto" w:fill="FDFDFA" w:themeFill="accent3" w:themeFillTint="3F"/>
      </w:tcPr>
    </w:tblStylePr>
    <w:tblStylePr w:type="band2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tcPr>
    </w:tblStylePr>
  </w:style>
  <w:style w:type="table" w:styleId="Lichtraster-accent4">
    <w:name w:val="Light Grid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18" w:space="0" w:color="F3EAE1" w:themeColor="accent4"/>
          <w:right w:val="single" w:sz="8" w:space="0" w:color="F3EAE1" w:themeColor="accent4"/>
          <w:insideH w:val="nil"/>
          <w:insideV w:val="single" w:sz="8" w:space="0" w:color="F3EA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insideH w:val="nil"/>
          <w:insideV w:val="single" w:sz="8" w:space="0" w:color="F3EA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shd w:val="clear" w:color="auto" w:fill="FCF9F7" w:themeFill="accent4" w:themeFillTint="3F"/>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shd w:val="clear" w:color="auto" w:fill="FCF9F7" w:themeFill="accent4" w:themeFillTint="3F"/>
      </w:tcPr>
    </w:tblStylePr>
    <w:tblStylePr w:type="band2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tcPr>
    </w:tblStylePr>
  </w:style>
  <w:style w:type="table" w:styleId="Lichtraster-accent5">
    <w:name w:val="Light Grid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18" w:space="0" w:color="FC5200" w:themeColor="accent5"/>
          <w:right w:val="single" w:sz="8" w:space="0" w:color="FC5200" w:themeColor="accent5"/>
          <w:insideH w:val="nil"/>
          <w:insideV w:val="single" w:sz="8" w:space="0" w:color="FC52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insideH w:val="nil"/>
          <w:insideV w:val="single" w:sz="8" w:space="0" w:color="FC52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shd w:val="clear" w:color="auto" w:fill="FFD3BF" w:themeFill="accent5" w:themeFillTint="3F"/>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shd w:val="clear" w:color="auto" w:fill="FFD3BF" w:themeFill="accent5" w:themeFillTint="3F"/>
      </w:tcPr>
    </w:tblStylePr>
    <w:tblStylePr w:type="band2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tcPr>
    </w:tblStylePr>
  </w:style>
  <w:style w:type="table" w:styleId="Lichtraster-accent6">
    <w:name w:val="Light Grid Accent 6"/>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arcering">
    <w:name w:val="Light Shading"/>
    <w:basedOn w:val="Standaardtabel"/>
    <w:uiPriority w:val="59"/>
    <w:semiHidden/>
    <w:unhideWhenUsed/>
    <w:rsid w:val="0061587E"/>
    <w:pPr>
      <w:spacing w:after="0" w:line="240" w:lineRule="auto"/>
    </w:pPr>
    <w:rPr>
      <w:color w:val="000000" w:themeColor="text1" w:themeShade="BF"/>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61587E"/>
    <w:pPr>
      <w:spacing w:after="0" w:line="240" w:lineRule="auto"/>
    </w:pPr>
    <w:rPr>
      <w:color w:val="091B14" w:themeColor="accent1" w:themeShade="BF"/>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la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left w:val="nil"/>
          <w:right w:val="nil"/>
          <w:insideH w:val="nil"/>
          <w:insideV w:val="nil"/>
        </w:tcBorders>
        <w:shd w:val="clear" w:color="auto" w:fill="A8E3CB" w:themeFill="accent1" w:themeFillTint="3F"/>
      </w:tcPr>
    </w:tblStylePr>
  </w:style>
  <w:style w:type="table" w:styleId="Lichtearcering-accent2">
    <w:name w:val="Light Shading Accent 2"/>
    <w:basedOn w:val="Standaardtabel"/>
    <w:uiPriority w:val="59"/>
    <w:semiHidden/>
    <w:unhideWhenUsed/>
    <w:rsid w:val="0061587E"/>
    <w:pPr>
      <w:spacing w:after="0" w:line="240" w:lineRule="auto"/>
    </w:pPr>
    <w:rPr>
      <w:color w:val="002F1D" w:themeColor="accent2" w:themeShade="BF"/>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la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left w:val="nil"/>
          <w:right w:val="nil"/>
          <w:insideH w:val="nil"/>
          <w:insideV w:val="nil"/>
        </w:tcBorders>
        <w:shd w:val="clear" w:color="auto" w:fill="90FFD5" w:themeFill="accent2" w:themeFillTint="3F"/>
      </w:tcPr>
    </w:tblStylePr>
  </w:style>
  <w:style w:type="table" w:styleId="Lichtearcering-accent3">
    <w:name w:val="Light Shading Accent 3"/>
    <w:basedOn w:val="Standaardtabel"/>
    <w:uiPriority w:val="59"/>
    <w:semiHidden/>
    <w:unhideWhenUsed/>
    <w:rsid w:val="0061587E"/>
    <w:pPr>
      <w:spacing w:after="0" w:line="240" w:lineRule="auto"/>
    </w:pPr>
    <w:rPr>
      <w:color w:val="D0D09B" w:themeColor="accent3" w:themeShade="BF"/>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la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left w:val="nil"/>
          <w:right w:val="nil"/>
          <w:insideH w:val="nil"/>
          <w:insideV w:val="nil"/>
        </w:tcBorders>
        <w:shd w:val="clear" w:color="auto" w:fill="FDFDFA" w:themeFill="accent3" w:themeFillTint="3F"/>
      </w:tcPr>
    </w:tblStylePr>
  </w:style>
  <w:style w:type="table" w:styleId="Lichtearcering-accent4">
    <w:name w:val="Light Shading Accent 4"/>
    <w:basedOn w:val="Standaardtabel"/>
    <w:uiPriority w:val="59"/>
    <w:semiHidden/>
    <w:unhideWhenUsed/>
    <w:rsid w:val="0061587E"/>
    <w:pPr>
      <w:spacing w:after="0" w:line="240" w:lineRule="auto"/>
    </w:pPr>
    <w:rPr>
      <w:color w:val="D1AF8C" w:themeColor="accent4" w:themeShade="BF"/>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la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left w:val="nil"/>
          <w:right w:val="nil"/>
          <w:insideH w:val="nil"/>
          <w:insideV w:val="nil"/>
        </w:tcBorders>
        <w:shd w:val="clear" w:color="auto" w:fill="FCF9F7" w:themeFill="accent4" w:themeFillTint="3F"/>
      </w:tcPr>
    </w:tblStylePr>
  </w:style>
  <w:style w:type="table" w:styleId="Lichtearcering-accent5">
    <w:name w:val="Light Shading Accent 5"/>
    <w:basedOn w:val="Standaardtabel"/>
    <w:uiPriority w:val="59"/>
    <w:semiHidden/>
    <w:unhideWhenUsed/>
    <w:rsid w:val="0061587E"/>
    <w:pPr>
      <w:spacing w:after="0" w:line="240" w:lineRule="auto"/>
    </w:pPr>
    <w:rPr>
      <w:color w:val="BC3C00" w:themeColor="accent5" w:themeShade="BF"/>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la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left w:val="nil"/>
          <w:right w:val="nil"/>
          <w:insideH w:val="nil"/>
          <w:insideV w:val="nil"/>
        </w:tcBorders>
        <w:shd w:val="clear" w:color="auto" w:fill="FFD3BF" w:themeFill="accent5" w:themeFillTint="3F"/>
      </w:tcPr>
    </w:tblStylePr>
  </w:style>
  <w:style w:type="table" w:styleId="Lichtearcering-accent6">
    <w:name w:val="Light Shading Accent 6"/>
    <w:basedOn w:val="Standaardtabel"/>
    <w:uiPriority w:val="59"/>
    <w:semiHidden/>
    <w:unhideWhenUsed/>
    <w:rsid w:val="0061587E"/>
    <w:pPr>
      <w:spacing w:after="0" w:line="240" w:lineRule="auto"/>
    </w:pPr>
    <w:rPr>
      <w:color w:val="BFBFBF" w:themeColor="accent6" w:themeShade="BF"/>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chtelijst">
    <w:name w:val="Light List"/>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pPr>
        <w:spacing w:before="0" w:after="0" w:line="240" w:lineRule="auto"/>
      </w:pPr>
      <w:rPr>
        <w:b/>
        <w:bCs/>
        <w:color w:val="FFFFFF" w:themeColor="background1"/>
      </w:rPr>
      <w:tblPr/>
      <w:tcPr>
        <w:shd w:val="clear" w:color="auto" w:fill="0C251B" w:themeFill="accent1"/>
      </w:tcPr>
    </w:tblStylePr>
    <w:tblStylePr w:type="lastRow">
      <w:pPr>
        <w:spacing w:before="0" w:after="0" w:line="240" w:lineRule="auto"/>
      </w:pPr>
      <w:rPr>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tcBorders>
      </w:tcPr>
    </w:tblStylePr>
    <w:tblStylePr w:type="firstCol">
      <w:rPr>
        <w:b/>
        <w:bCs/>
      </w:rPr>
    </w:tblStylePr>
    <w:tblStylePr w:type="lastCol">
      <w:rPr>
        <w:b/>
        <w:bCs/>
      </w:r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style>
  <w:style w:type="table" w:styleId="Lichtelijst-accent2">
    <w:name w:val="Light List Accent 2"/>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pPr>
        <w:spacing w:before="0" w:after="0" w:line="240" w:lineRule="auto"/>
      </w:pPr>
      <w:rPr>
        <w:b/>
        <w:bCs/>
        <w:color w:val="FFFFFF" w:themeColor="background1"/>
      </w:rPr>
      <w:tblPr/>
      <w:tcPr>
        <w:shd w:val="clear" w:color="auto" w:fill="004028" w:themeFill="accent2"/>
      </w:tcPr>
    </w:tblStylePr>
    <w:tblStylePr w:type="lastRow">
      <w:pPr>
        <w:spacing w:before="0" w:after="0" w:line="240" w:lineRule="auto"/>
      </w:pPr>
      <w:rPr>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tcBorders>
      </w:tcPr>
    </w:tblStylePr>
    <w:tblStylePr w:type="firstCol">
      <w:rPr>
        <w:b/>
        <w:bCs/>
      </w:rPr>
    </w:tblStylePr>
    <w:tblStylePr w:type="lastCol">
      <w:rPr>
        <w:b/>
        <w:bCs/>
      </w:r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style>
  <w:style w:type="table" w:styleId="Lichtelijst-accent3">
    <w:name w:val="Light List Accent 3"/>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pPr>
        <w:spacing w:before="0" w:after="0" w:line="240" w:lineRule="auto"/>
      </w:pPr>
      <w:rPr>
        <w:b/>
        <w:bCs/>
        <w:color w:val="FFFFFF" w:themeColor="background1"/>
      </w:rPr>
      <w:tblPr/>
      <w:tcPr>
        <w:shd w:val="clear" w:color="auto" w:fill="F7F7EE" w:themeFill="accent3"/>
      </w:tcPr>
    </w:tblStylePr>
    <w:tblStylePr w:type="lastRow">
      <w:pPr>
        <w:spacing w:before="0" w:after="0" w:line="240" w:lineRule="auto"/>
      </w:pPr>
      <w:rPr>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tcBorders>
      </w:tcPr>
    </w:tblStylePr>
    <w:tblStylePr w:type="firstCol">
      <w:rPr>
        <w:b/>
        <w:bCs/>
      </w:rPr>
    </w:tblStylePr>
    <w:tblStylePr w:type="lastCol">
      <w:rPr>
        <w:b/>
        <w:bCs/>
      </w:r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style>
  <w:style w:type="table" w:styleId="Lichtelijst-accent4">
    <w:name w:val="Light List Accent 4"/>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pPr>
        <w:spacing w:before="0" w:after="0" w:line="240" w:lineRule="auto"/>
      </w:pPr>
      <w:rPr>
        <w:b/>
        <w:bCs/>
        <w:color w:val="FFFFFF" w:themeColor="background1"/>
      </w:rPr>
      <w:tblPr/>
      <w:tcPr>
        <w:shd w:val="clear" w:color="auto" w:fill="F3EAE1" w:themeFill="accent4"/>
      </w:tcPr>
    </w:tblStylePr>
    <w:tblStylePr w:type="lastRow">
      <w:pPr>
        <w:spacing w:before="0" w:after="0" w:line="240" w:lineRule="auto"/>
      </w:pPr>
      <w:rPr>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tcBorders>
      </w:tcPr>
    </w:tblStylePr>
    <w:tblStylePr w:type="firstCol">
      <w:rPr>
        <w:b/>
        <w:bCs/>
      </w:rPr>
    </w:tblStylePr>
    <w:tblStylePr w:type="lastCol">
      <w:rPr>
        <w:b/>
        <w:bCs/>
      </w:r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style>
  <w:style w:type="table" w:styleId="Lichtelijst-accent5">
    <w:name w:val="Light List Accent 5"/>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pPr>
        <w:spacing w:before="0" w:after="0" w:line="240" w:lineRule="auto"/>
      </w:pPr>
      <w:rPr>
        <w:b/>
        <w:bCs/>
        <w:color w:val="FFFFFF" w:themeColor="background1"/>
      </w:rPr>
      <w:tblPr/>
      <w:tcPr>
        <w:shd w:val="clear" w:color="auto" w:fill="FC5200" w:themeFill="accent5"/>
      </w:tcPr>
    </w:tblStylePr>
    <w:tblStylePr w:type="lastRow">
      <w:pPr>
        <w:spacing w:before="0" w:after="0" w:line="240" w:lineRule="auto"/>
      </w:pPr>
      <w:rPr>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tcBorders>
      </w:tcPr>
    </w:tblStylePr>
    <w:tblStylePr w:type="firstCol">
      <w:rPr>
        <w:b/>
        <w:bCs/>
      </w:rPr>
    </w:tblStylePr>
    <w:tblStylePr w:type="lastCol">
      <w:rPr>
        <w:b/>
        <w:bCs/>
      </w:r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style>
  <w:style w:type="table" w:styleId="Lichtelijst-accent6">
    <w:name w:val="Light List Accent 6"/>
    <w:basedOn w:val="Standaardtabel"/>
    <w:uiPriority w:val="59"/>
    <w:semiHidden/>
    <w:unhideWhenUsed/>
    <w:rsid w:val="0061587E"/>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paragraph" w:styleId="Lijst">
    <w:name w:val="List"/>
    <w:basedOn w:val="Standaard"/>
    <w:uiPriority w:val="59"/>
    <w:semiHidden/>
    <w:unhideWhenUsed/>
    <w:rsid w:val="0061587E"/>
    <w:pPr>
      <w:ind w:left="283" w:hanging="283"/>
      <w:contextualSpacing/>
    </w:pPr>
  </w:style>
  <w:style w:type="paragraph" w:styleId="Lijst2">
    <w:name w:val="List 2"/>
    <w:basedOn w:val="Standaard"/>
    <w:uiPriority w:val="59"/>
    <w:semiHidden/>
    <w:unhideWhenUsed/>
    <w:rsid w:val="0061587E"/>
    <w:pPr>
      <w:ind w:left="566" w:hanging="283"/>
      <w:contextualSpacing/>
    </w:pPr>
  </w:style>
  <w:style w:type="paragraph" w:styleId="Lijst3">
    <w:name w:val="List 3"/>
    <w:basedOn w:val="Standaard"/>
    <w:uiPriority w:val="59"/>
    <w:semiHidden/>
    <w:unhideWhenUsed/>
    <w:rsid w:val="0061587E"/>
    <w:pPr>
      <w:ind w:left="849" w:hanging="283"/>
      <w:contextualSpacing/>
    </w:pPr>
  </w:style>
  <w:style w:type="paragraph" w:styleId="Lijst4">
    <w:name w:val="List 4"/>
    <w:basedOn w:val="Standaard"/>
    <w:uiPriority w:val="59"/>
    <w:semiHidden/>
    <w:unhideWhenUsed/>
    <w:rsid w:val="0061587E"/>
    <w:pPr>
      <w:ind w:left="1132" w:hanging="283"/>
      <w:contextualSpacing/>
    </w:pPr>
  </w:style>
  <w:style w:type="paragraph" w:styleId="Lijst5">
    <w:name w:val="List 5"/>
    <w:basedOn w:val="Standaard"/>
    <w:uiPriority w:val="59"/>
    <w:semiHidden/>
    <w:unhideWhenUsed/>
    <w:rsid w:val="0061587E"/>
    <w:pPr>
      <w:ind w:left="1415" w:hanging="283"/>
      <w:contextualSpacing/>
    </w:pPr>
  </w:style>
  <w:style w:type="paragraph" w:styleId="Lijstmetafbeeldingen">
    <w:name w:val="table of figures"/>
    <w:basedOn w:val="Standaard"/>
    <w:next w:val="Standaard"/>
    <w:uiPriority w:val="59"/>
    <w:semiHidden/>
    <w:unhideWhenUsed/>
    <w:rsid w:val="0061587E"/>
  </w:style>
  <w:style w:type="paragraph" w:styleId="Lijstopsomteken">
    <w:name w:val="List Bullet"/>
    <w:basedOn w:val="Standaard"/>
    <w:uiPriority w:val="59"/>
    <w:semiHidden/>
    <w:unhideWhenUsed/>
    <w:rsid w:val="0061587E"/>
    <w:pPr>
      <w:numPr>
        <w:numId w:val="18"/>
      </w:numPr>
      <w:contextualSpacing/>
    </w:pPr>
  </w:style>
  <w:style w:type="paragraph" w:styleId="Lijstopsomteken2">
    <w:name w:val="List Bullet 2"/>
    <w:basedOn w:val="Standaard"/>
    <w:uiPriority w:val="59"/>
    <w:semiHidden/>
    <w:unhideWhenUsed/>
    <w:rsid w:val="0061587E"/>
    <w:pPr>
      <w:numPr>
        <w:numId w:val="19"/>
      </w:numPr>
      <w:contextualSpacing/>
    </w:pPr>
  </w:style>
  <w:style w:type="paragraph" w:styleId="Lijstopsomteken3">
    <w:name w:val="List Bullet 3"/>
    <w:basedOn w:val="Standaard"/>
    <w:uiPriority w:val="59"/>
    <w:semiHidden/>
    <w:unhideWhenUsed/>
    <w:rsid w:val="0061587E"/>
    <w:pPr>
      <w:numPr>
        <w:numId w:val="20"/>
      </w:numPr>
      <w:contextualSpacing/>
    </w:pPr>
  </w:style>
  <w:style w:type="paragraph" w:styleId="Lijstopsomteken4">
    <w:name w:val="List Bullet 4"/>
    <w:basedOn w:val="Standaard"/>
    <w:uiPriority w:val="59"/>
    <w:semiHidden/>
    <w:unhideWhenUsed/>
    <w:rsid w:val="0061587E"/>
    <w:pPr>
      <w:numPr>
        <w:numId w:val="21"/>
      </w:numPr>
      <w:contextualSpacing/>
    </w:pPr>
  </w:style>
  <w:style w:type="paragraph" w:styleId="Lijstopsomteken5">
    <w:name w:val="List Bullet 5"/>
    <w:basedOn w:val="Standaard"/>
    <w:uiPriority w:val="59"/>
    <w:semiHidden/>
    <w:unhideWhenUsed/>
    <w:rsid w:val="0061587E"/>
    <w:pPr>
      <w:numPr>
        <w:numId w:val="22"/>
      </w:numPr>
      <w:contextualSpacing/>
    </w:pPr>
  </w:style>
  <w:style w:type="paragraph" w:styleId="Lijstnummering">
    <w:name w:val="List Number"/>
    <w:basedOn w:val="Standaard"/>
    <w:uiPriority w:val="59"/>
    <w:semiHidden/>
    <w:unhideWhenUsed/>
    <w:rsid w:val="0061587E"/>
    <w:pPr>
      <w:numPr>
        <w:numId w:val="23"/>
      </w:numPr>
      <w:contextualSpacing/>
    </w:pPr>
  </w:style>
  <w:style w:type="paragraph" w:styleId="Lijstnummering2">
    <w:name w:val="List Number 2"/>
    <w:basedOn w:val="Standaard"/>
    <w:uiPriority w:val="59"/>
    <w:semiHidden/>
    <w:unhideWhenUsed/>
    <w:rsid w:val="0061587E"/>
    <w:pPr>
      <w:numPr>
        <w:numId w:val="24"/>
      </w:numPr>
      <w:contextualSpacing/>
    </w:pPr>
  </w:style>
  <w:style w:type="paragraph" w:styleId="Lijstnummering3">
    <w:name w:val="List Number 3"/>
    <w:basedOn w:val="Standaard"/>
    <w:uiPriority w:val="59"/>
    <w:semiHidden/>
    <w:unhideWhenUsed/>
    <w:rsid w:val="0061587E"/>
    <w:pPr>
      <w:numPr>
        <w:numId w:val="25"/>
      </w:numPr>
      <w:contextualSpacing/>
    </w:pPr>
  </w:style>
  <w:style w:type="paragraph" w:styleId="Lijstnummering4">
    <w:name w:val="List Number 4"/>
    <w:basedOn w:val="Standaard"/>
    <w:uiPriority w:val="59"/>
    <w:semiHidden/>
    <w:unhideWhenUsed/>
    <w:rsid w:val="0061587E"/>
    <w:pPr>
      <w:numPr>
        <w:numId w:val="26"/>
      </w:numPr>
      <w:contextualSpacing/>
    </w:pPr>
  </w:style>
  <w:style w:type="paragraph" w:styleId="Lijstnummering5">
    <w:name w:val="List Number 5"/>
    <w:basedOn w:val="Standaard"/>
    <w:uiPriority w:val="59"/>
    <w:semiHidden/>
    <w:unhideWhenUsed/>
    <w:rsid w:val="0061587E"/>
    <w:pPr>
      <w:numPr>
        <w:numId w:val="27"/>
      </w:numPr>
      <w:contextualSpacing/>
    </w:pPr>
  </w:style>
  <w:style w:type="table" w:styleId="Lijsttabel1licht">
    <w:name w:val="List Table 1 Light"/>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39B080" w:themeColor="accent1" w:themeTint="99"/>
        </w:tcBorders>
      </w:tcPr>
    </w:tblStylePr>
    <w:tblStylePr w:type="lastRow">
      <w:rPr>
        <w:b/>
        <w:bCs/>
      </w:rPr>
      <w:tblPr/>
      <w:tcPr>
        <w:tcBorders>
          <w:top w:val="sing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1licht-Accent2">
    <w:name w:val="List Table 1 Light Accent 2"/>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00F297" w:themeColor="accent2" w:themeTint="99"/>
        </w:tcBorders>
      </w:tcPr>
    </w:tblStylePr>
    <w:tblStylePr w:type="lastRow">
      <w:rPr>
        <w:b/>
        <w:bCs/>
      </w:rPr>
      <w:tblPr/>
      <w:tcPr>
        <w:tcBorders>
          <w:top w:val="sing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1licht-Accent3">
    <w:name w:val="List Table 1 Light Accent 3"/>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AFAF4" w:themeColor="accent3" w:themeTint="99"/>
        </w:tcBorders>
      </w:tcPr>
    </w:tblStylePr>
    <w:tblStylePr w:type="lastRow">
      <w:rPr>
        <w:b/>
        <w:bCs/>
      </w:rPr>
      <w:tblPr/>
      <w:tcPr>
        <w:tcBorders>
          <w:top w:val="sing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1licht-Accent4">
    <w:name w:val="List Table 1 Light Accent 4"/>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7F2EC" w:themeColor="accent4" w:themeTint="99"/>
        </w:tcBorders>
      </w:tcPr>
    </w:tblStylePr>
    <w:tblStylePr w:type="lastRow">
      <w:rPr>
        <w:b/>
        <w:bCs/>
      </w:rPr>
      <w:tblPr/>
      <w:tcPr>
        <w:tcBorders>
          <w:top w:val="sing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1licht-Accent5">
    <w:name w:val="List Table 1 Light Accent 5"/>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9564" w:themeColor="accent5" w:themeTint="99"/>
        </w:tcBorders>
      </w:tcPr>
    </w:tblStylePr>
    <w:tblStylePr w:type="lastRow">
      <w:rPr>
        <w:b/>
        <w:bCs/>
      </w:rPr>
      <w:tblPr/>
      <w:tcPr>
        <w:tcBorders>
          <w:top w:val="sing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1licht-Accent6">
    <w:name w:val="List Table 1 Light Accent 6"/>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bottom w:val="single" w:sz="4" w:space="0" w:color="39B080" w:themeColor="accent1" w:themeTint="99"/>
        <w:insideH w:val="single" w:sz="4" w:space="0" w:color="39B08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2-Accent2">
    <w:name w:val="List Table 2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bottom w:val="single" w:sz="4" w:space="0" w:color="00F297" w:themeColor="accent2" w:themeTint="99"/>
        <w:insideH w:val="single" w:sz="4" w:space="0" w:color="00F29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2-Accent3">
    <w:name w:val="List Table 2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bottom w:val="single" w:sz="4" w:space="0" w:color="FAFAF4" w:themeColor="accent3" w:themeTint="99"/>
        <w:insideH w:val="single" w:sz="4" w:space="0" w:color="FAFA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2-Accent4">
    <w:name w:val="List Table 2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bottom w:val="single" w:sz="4" w:space="0" w:color="F7F2EC" w:themeColor="accent4" w:themeTint="99"/>
        <w:insideH w:val="single" w:sz="4" w:space="0" w:color="F7F2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2-Accent5">
    <w:name w:val="List Table 2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bottom w:val="single" w:sz="4" w:space="0" w:color="FF9564" w:themeColor="accent5" w:themeTint="99"/>
        <w:insideH w:val="single" w:sz="4" w:space="0" w:color="FF956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2-Accent6">
    <w:name w:val="List Table 2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C251B" w:themeColor="accent1"/>
        <w:left w:val="single" w:sz="4" w:space="0" w:color="0C251B" w:themeColor="accent1"/>
        <w:bottom w:val="single" w:sz="4" w:space="0" w:color="0C251B" w:themeColor="accent1"/>
        <w:right w:val="single" w:sz="4" w:space="0" w:color="0C251B" w:themeColor="accent1"/>
      </w:tblBorders>
    </w:tblPr>
    <w:tblStylePr w:type="firstRow">
      <w:rPr>
        <w:b/>
        <w:bCs/>
        <w:color w:val="FFFFFF" w:themeColor="background1"/>
      </w:rPr>
      <w:tblPr/>
      <w:tcPr>
        <w:shd w:val="clear" w:color="auto" w:fill="0C251B" w:themeFill="accent1"/>
      </w:tcPr>
    </w:tblStylePr>
    <w:tblStylePr w:type="lastRow">
      <w:rPr>
        <w:b/>
        <w:bCs/>
      </w:rPr>
      <w:tblPr/>
      <w:tcPr>
        <w:tcBorders>
          <w:top w:val="double" w:sz="4" w:space="0" w:color="0C251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251B" w:themeColor="accent1"/>
          <w:right w:val="single" w:sz="4" w:space="0" w:color="0C251B" w:themeColor="accent1"/>
        </w:tcBorders>
      </w:tcPr>
    </w:tblStylePr>
    <w:tblStylePr w:type="band1Horz">
      <w:tblPr/>
      <w:tcPr>
        <w:tcBorders>
          <w:top w:val="single" w:sz="4" w:space="0" w:color="0C251B" w:themeColor="accent1"/>
          <w:bottom w:val="single" w:sz="4" w:space="0" w:color="0C251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251B" w:themeColor="accent1"/>
          <w:left w:val="nil"/>
        </w:tcBorders>
      </w:tcPr>
    </w:tblStylePr>
    <w:tblStylePr w:type="swCell">
      <w:tblPr/>
      <w:tcPr>
        <w:tcBorders>
          <w:top w:val="double" w:sz="4" w:space="0" w:color="0C251B" w:themeColor="accent1"/>
          <w:right w:val="nil"/>
        </w:tcBorders>
      </w:tcPr>
    </w:tblStylePr>
  </w:style>
  <w:style w:type="table" w:styleId="Lijsttabel3-Accent2">
    <w:name w:val="List Table 3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4028" w:themeColor="accent2"/>
        <w:left w:val="single" w:sz="4" w:space="0" w:color="004028" w:themeColor="accent2"/>
        <w:bottom w:val="single" w:sz="4" w:space="0" w:color="004028" w:themeColor="accent2"/>
        <w:right w:val="single" w:sz="4" w:space="0" w:color="004028" w:themeColor="accent2"/>
      </w:tblBorders>
    </w:tblPr>
    <w:tblStylePr w:type="firstRow">
      <w:rPr>
        <w:b/>
        <w:bCs/>
        <w:color w:val="FFFFFF" w:themeColor="background1"/>
      </w:rPr>
      <w:tblPr/>
      <w:tcPr>
        <w:shd w:val="clear" w:color="auto" w:fill="004028" w:themeFill="accent2"/>
      </w:tcPr>
    </w:tblStylePr>
    <w:tblStylePr w:type="lastRow">
      <w:rPr>
        <w:b/>
        <w:bCs/>
      </w:rPr>
      <w:tblPr/>
      <w:tcPr>
        <w:tcBorders>
          <w:top w:val="double" w:sz="4" w:space="0" w:color="00402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028" w:themeColor="accent2"/>
          <w:right w:val="single" w:sz="4" w:space="0" w:color="004028" w:themeColor="accent2"/>
        </w:tcBorders>
      </w:tcPr>
    </w:tblStylePr>
    <w:tblStylePr w:type="band1Horz">
      <w:tblPr/>
      <w:tcPr>
        <w:tcBorders>
          <w:top w:val="single" w:sz="4" w:space="0" w:color="004028" w:themeColor="accent2"/>
          <w:bottom w:val="single" w:sz="4" w:space="0" w:color="00402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028" w:themeColor="accent2"/>
          <w:left w:val="nil"/>
        </w:tcBorders>
      </w:tcPr>
    </w:tblStylePr>
    <w:tblStylePr w:type="swCell">
      <w:tblPr/>
      <w:tcPr>
        <w:tcBorders>
          <w:top w:val="double" w:sz="4" w:space="0" w:color="004028" w:themeColor="accent2"/>
          <w:right w:val="nil"/>
        </w:tcBorders>
      </w:tcPr>
    </w:tblStylePr>
  </w:style>
  <w:style w:type="table" w:styleId="Lijsttabel3-Accent3">
    <w:name w:val="List Table 3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7F7EE" w:themeColor="accent3"/>
        <w:left w:val="single" w:sz="4" w:space="0" w:color="F7F7EE" w:themeColor="accent3"/>
        <w:bottom w:val="single" w:sz="4" w:space="0" w:color="F7F7EE" w:themeColor="accent3"/>
        <w:right w:val="single" w:sz="4" w:space="0" w:color="F7F7EE" w:themeColor="accent3"/>
      </w:tblBorders>
    </w:tblPr>
    <w:tblStylePr w:type="firstRow">
      <w:rPr>
        <w:b/>
        <w:bCs/>
        <w:color w:val="FFFFFF" w:themeColor="background1"/>
      </w:rPr>
      <w:tblPr/>
      <w:tcPr>
        <w:shd w:val="clear" w:color="auto" w:fill="F7F7EE" w:themeFill="accent3"/>
      </w:tcPr>
    </w:tblStylePr>
    <w:tblStylePr w:type="lastRow">
      <w:rPr>
        <w:b/>
        <w:bCs/>
      </w:rPr>
      <w:tblPr/>
      <w:tcPr>
        <w:tcBorders>
          <w:top w:val="double" w:sz="4" w:space="0" w:color="F7F7E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F7EE" w:themeColor="accent3"/>
          <w:right w:val="single" w:sz="4" w:space="0" w:color="F7F7EE" w:themeColor="accent3"/>
        </w:tcBorders>
      </w:tcPr>
    </w:tblStylePr>
    <w:tblStylePr w:type="band1Horz">
      <w:tblPr/>
      <w:tcPr>
        <w:tcBorders>
          <w:top w:val="single" w:sz="4" w:space="0" w:color="F7F7EE" w:themeColor="accent3"/>
          <w:bottom w:val="single" w:sz="4" w:space="0" w:color="F7F7E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F7EE" w:themeColor="accent3"/>
          <w:left w:val="nil"/>
        </w:tcBorders>
      </w:tcPr>
    </w:tblStylePr>
    <w:tblStylePr w:type="swCell">
      <w:tblPr/>
      <w:tcPr>
        <w:tcBorders>
          <w:top w:val="double" w:sz="4" w:space="0" w:color="F7F7EE" w:themeColor="accent3"/>
          <w:right w:val="nil"/>
        </w:tcBorders>
      </w:tcPr>
    </w:tblStylePr>
  </w:style>
  <w:style w:type="table" w:styleId="Lijsttabel3-Accent4">
    <w:name w:val="List Table 3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3EAE1" w:themeColor="accent4"/>
        <w:left w:val="single" w:sz="4" w:space="0" w:color="F3EAE1" w:themeColor="accent4"/>
        <w:bottom w:val="single" w:sz="4" w:space="0" w:color="F3EAE1" w:themeColor="accent4"/>
        <w:right w:val="single" w:sz="4" w:space="0" w:color="F3EAE1" w:themeColor="accent4"/>
      </w:tblBorders>
    </w:tblPr>
    <w:tblStylePr w:type="firstRow">
      <w:rPr>
        <w:b/>
        <w:bCs/>
        <w:color w:val="FFFFFF" w:themeColor="background1"/>
      </w:rPr>
      <w:tblPr/>
      <w:tcPr>
        <w:shd w:val="clear" w:color="auto" w:fill="F3EAE1" w:themeFill="accent4"/>
      </w:tcPr>
    </w:tblStylePr>
    <w:tblStylePr w:type="lastRow">
      <w:rPr>
        <w:b/>
        <w:bCs/>
      </w:rPr>
      <w:tblPr/>
      <w:tcPr>
        <w:tcBorders>
          <w:top w:val="double" w:sz="4" w:space="0" w:color="F3EAE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EAE1" w:themeColor="accent4"/>
          <w:right w:val="single" w:sz="4" w:space="0" w:color="F3EAE1" w:themeColor="accent4"/>
        </w:tcBorders>
      </w:tcPr>
    </w:tblStylePr>
    <w:tblStylePr w:type="band1Horz">
      <w:tblPr/>
      <w:tcPr>
        <w:tcBorders>
          <w:top w:val="single" w:sz="4" w:space="0" w:color="F3EAE1" w:themeColor="accent4"/>
          <w:bottom w:val="single" w:sz="4" w:space="0" w:color="F3EAE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EAE1" w:themeColor="accent4"/>
          <w:left w:val="nil"/>
        </w:tcBorders>
      </w:tcPr>
    </w:tblStylePr>
    <w:tblStylePr w:type="swCell">
      <w:tblPr/>
      <w:tcPr>
        <w:tcBorders>
          <w:top w:val="double" w:sz="4" w:space="0" w:color="F3EAE1" w:themeColor="accent4"/>
          <w:right w:val="nil"/>
        </w:tcBorders>
      </w:tcPr>
    </w:tblStylePr>
  </w:style>
  <w:style w:type="table" w:styleId="Lijsttabel3-Accent5">
    <w:name w:val="List Table 3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C5200" w:themeColor="accent5"/>
        <w:left w:val="single" w:sz="4" w:space="0" w:color="FC5200" w:themeColor="accent5"/>
        <w:bottom w:val="single" w:sz="4" w:space="0" w:color="FC5200" w:themeColor="accent5"/>
        <w:right w:val="single" w:sz="4" w:space="0" w:color="FC5200" w:themeColor="accent5"/>
      </w:tblBorders>
    </w:tblPr>
    <w:tblStylePr w:type="firstRow">
      <w:rPr>
        <w:b/>
        <w:bCs/>
        <w:color w:val="FFFFFF" w:themeColor="background1"/>
      </w:rPr>
      <w:tblPr/>
      <w:tcPr>
        <w:shd w:val="clear" w:color="auto" w:fill="FC5200" w:themeFill="accent5"/>
      </w:tcPr>
    </w:tblStylePr>
    <w:tblStylePr w:type="lastRow">
      <w:rPr>
        <w:b/>
        <w:bCs/>
      </w:rPr>
      <w:tblPr/>
      <w:tcPr>
        <w:tcBorders>
          <w:top w:val="double" w:sz="4" w:space="0" w:color="FC52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5200" w:themeColor="accent5"/>
          <w:right w:val="single" w:sz="4" w:space="0" w:color="FC5200" w:themeColor="accent5"/>
        </w:tcBorders>
      </w:tcPr>
    </w:tblStylePr>
    <w:tblStylePr w:type="band1Horz">
      <w:tblPr/>
      <w:tcPr>
        <w:tcBorders>
          <w:top w:val="single" w:sz="4" w:space="0" w:color="FC5200" w:themeColor="accent5"/>
          <w:bottom w:val="single" w:sz="4" w:space="0" w:color="FC52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5200" w:themeColor="accent5"/>
          <w:left w:val="nil"/>
        </w:tcBorders>
      </w:tcPr>
    </w:tblStylePr>
    <w:tblStylePr w:type="swCell">
      <w:tblPr/>
      <w:tcPr>
        <w:tcBorders>
          <w:top w:val="double" w:sz="4" w:space="0" w:color="FC5200" w:themeColor="accent5"/>
          <w:right w:val="nil"/>
        </w:tcBorders>
      </w:tcPr>
    </w:tblStylePr>
  </w:style>
  <w:style w:type="table" w:styleId="Lijsttabel3-Accent6">
    <w:name w:val="List Table 3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tcBorders>
        <w:shd w:val="clear" w:color="auto" w:fill="0C251B" w:themeFill="accent1"/>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4-Accent2">
    <w:name w:val="List Table 4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tcBorders>
        <w:shd w:val="clear" w:color="auto" w:fill="004028" w:themeFill="accent2"/>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4-Accent3">
    <w:name w:val="List Table 4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tcBorders>
        <w:shd w:val="clear" w:color="auto" w:fill="F7F7EE" w:themeFill="accent3"/>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4-Accent4">
    <w:name w:val="List Table 4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tcBorders>
        <w:shd w:val="clear" w:color="auto" w:fill="F3EAE1" w:themeFill="accent4"/>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4-Accent5">
    <w:name w:val="List Table 4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tcBorders>
        <w:shd w:val="clear" w:color="auto" w:fill="FC5200" w:themeFill="accent5"/>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4-Accent6">
    <w:name w:val="List Table 4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C251B" w:themeColor="accent1"/>
        <w:left w:val="single" w:sz="24" w:space="0" w:color="0C251B" w:themeColor="accent1"/>
        <w:bottom w:val="single" w:sz="24" w:space="0" w:color="0C251B" w:themeColor="accent1"/>
        <w:right w:val="single" w:sz="24" w:space="0" w:color="0C251B" w:themeColor="accent1"/>
      </w:tblBorders>
    </w:tblPr>
    <w:tcPr>
      <w:shd w:val="clear" w:color="auto" w:fill="0C251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4028" w:themeColor="accent2"/>
        <w:left w:val="single" w:sz="24" w:space="0" w:color="004028" w:themeColor="accent2"/>
        <w:bottom w:val="single" w:sz="24" w:space="0" w:color="004028" w:themeColor="accent2"/>
        <w:right w:val="single" w:sz="24" w:space="0" w:color="004028" w:themeColor="accent2"/>
      </w:tblBorders>
    </w:tblPr>
    <w:tcPr>
      <w:shd w:val="clear" w:color="auto" w:fill="00402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7F7EE" w:themeColor="accent3"/>
        <w:left w:val="single" w:sz="24" w:space="0" w:color="F7F7EE" w:themeColor="accent3"/>
        <w:bottom w:val="single" w:sz="24" w:space="0" w:color="F7F7EE" w:themeColor="accent3"/>
        <w:right w:val="single" w:sz="24" w:space="0" w:color="F7F7EE" w:themeColor="accent3"/>
      </w:tblBorders>
    </w:tblPr>
    <w:tcPr>
      <w:shd w:val="clear" w:color="auto" w:fill="F7F7E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3EAE1" w:themeColor="accent4"/>
        <w:left w:val="single" w:sz="24" w:space="0" w:color="F3EAE1" w:themeColor="accent4"/>
        <w:bottom w:val="single" w:sz="24" w:space="0" w:color="F3EAE1" w:themeColor="accent4"/>
        <w:right w:val="single" w:sz="24" w:space="0" w:color="F3EAE1" w:themeColor="accent4"/>
      </w:tblBorders>
    </w:tblPr>
    <w:tcPr>
      <w:shd w:val="clear" w:color="auto" w:fill="F3EA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C5200" w:themeColor="accent5"/>
        <w:left w:val="single" w:sz="24" w:space="0" w:color="FC5200" w:themeColor="accent5"/>
        <w:bottom w:val="single" w:sz="24" w:space="0" w:color="FC5200" w:themeColor="accent5"/>
        <w:right w:val="single" w:sz="24" w:space="0" w:color="FC5200" w:themeColor="accent5"/>
      </w:tblBorders>
    </w:tblPr>
    <w:tcPr>
      <w:shd w:val="clear" w:color="auto" w:fill="FC52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61587E"/>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61587E"/>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0C251B" w:themeColor="accent1"/>
        <w:bottom w:val="single" w:sz="4" w:space="0" w:color="0C251B" w:themeColor="accent1"/>
      </w:tblBorders>
    </w:tblPr>
    <w:tblStylePr w:type="firstRow">
      <w:rPr>
        <w:b/>
        <w:bCs/>
      </w:rPr>
      <w:tblPr/>
      <w:tcPr>
        <w:tcBorders>
          <w:bottom w:val="single" w:sz="4" w:space="0" w:color="0C251B" w:themeColor="accent1"/>
        </w:tcBorders>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6kleurrijk-Accent2">
    <w:name w:val="List Table 6 Colorful Accent 2"/>
    <w:basedOn w:val="Standaardtabel"/>
    <w:uiPriority w:val="59"/>
    <w:rsid w:val="0061587E"/>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4028" w:themeColor="accent2"/>
        <w:bottom w:val="single" w:sz="4" w:space="0" w:color="004028" w:themeColor="accent2"/>
      </w:tblBorders>
    </w:tblPr>
    <w:tblStylePr w:type="firstRow">
      <w:rPr>
        <w:b/>
        <w:bCs/>
      </w:rPr>
      <w:tblPr/>
      <w:tcPr>
        <w:tcBorders>
          <w:bottom w:val="single" w:sz="4" w:space="0" w:color="004028" w:themeColor="accent2"/>
        </w:tcBorders>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6kleurrijk-Accent3">
    <w:name w:val="List Table 6 Colorful Accent 3"/>
    <w:basedOn w:val="Standaardtabel"/>
    <w:uiPriority w:val="59"/>
    <w:rsid w:val="0061587E"/>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7F7EE" w:themeColor="accent3"/>
        <w:bottom w:val="single" w:sz="4" w:space="0" w:color="F7F7EE" w:themeColor="accent3"/>
      </w:tblBorders>
    </w:tblPr>
    <w:tblStylePr w:type="firstRow">
      <w:rPr>
        <w:b/>
        <w:bCs/>
      </w:rPr>
      <w:tblPr/>
      <w:tcPr>
        <w:tcBorders>
          <w:bottom w:val="single" w:sz="4" w:space="0" w:color="F7F7EE" w:themeColor="accent3"/>
        </w:tcBorders>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6kleurrijk-Accent4">
    <w:name w:val="List Table 6 Colorful Accent 4"/>
    <w:basedOn w:val="Standaardtabel"/>
    <w:uiPriority w:val="59"/>
    <w:rsid w:val="0061587E"/>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3EAE1" w:themeColor="accent4"/>
        <w:bottom w:val="single" w:sz="4" w:space="0" w:color="F3EAE1" w:themeColor="accent4"/>
      </w:tblBorders>
    </w:tblPr>
    <w:tblStylePr w:type="firstRow">
      <w:rPr>
        <w:b/>
        <w:bCs/>
      </w:rPr>
      <w:tblPr/>
      <w:tcPr>
        <w:tcBorders>
          <w:bottom w:val="single" w:sz="4" w:space="0" w:color="F3EAE1" w:themeColor="accent4"/>
        </w:tcBorders>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6kleurrijk-Accent5">
    <w:name w:val="List Table 6 Colorful Accent 5"/>
    <w:basedOn w:val="Standaardtabel"/>
    <w:uiPriority w:val="59"/>
    <w:rsid w:val="0061587E"/>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C5200" w:themeColor="accent5"/>
        <w:bottom w:val="single" w:sz="4" w:space="0" w:color="FC5200" w:themeColor="accent5"/>
      </w:tblBorders>
    </w:tblPr>
    <w:tblStylePr w:type="firstRow">
      <w:rPr>
        <w:b/>
        <w:bCs/>
      </w:rPr>
      <w:tblPr/>
      <w:tcPr>
        <w:tcBorders>
          <w:bottom w:val="single" w:sz="4" w:space="0" w:color="FC5200" w:themeColor="accent5"/>
        </w:tcBorders>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6kleurrijk-Accent6">
    <w:name w:val="List Table 6 Colorful Accent 6"/>
    <w:basedOn w:val="Standaardtabel"/>
    <w:uiPriority w:val="59"/>
    <w:rsid w:val="0061587E"/>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61587E"/>
    <w:pPr>
      <w:spacing w:after="0" w:line="240" w:lineRule="auto"/>
    </w:pPr>
    <w:rPr>
      <w:color w:val="091B14" w:themeColor="accent1"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251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251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251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251B" w:themeColor="accent1"/>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61587E"/>
    <w:pPr>
      <w:spacing w:after="0" w:line="240" w:lineRule="auto"/>
    </w:pPr>
    <w:rPr>
      <w:color w:val="002F1D" w:themeColor="accent2"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02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02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02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028" w:themeColor="accent2"/>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61587E"/>
    <w:pPr>
      <w:spacing w:after="0" w:line="240" w:lineRule="auto"/>
    </w:pPr>
    <w:rPr>
      <w:color w:val="D0D09B" w:themeColor="accent3"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F7E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F7E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F7E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F7EE" w:themeColor="accent3"/>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61587E"/>
    <w:pPr>
      <w:spacing w:after="0" w:line="240" w:lineRule="auto"/>
    </w:pPr>
    <w:rPr>
      <w:color w:val="D1AF8C" w:themeColor="accent4"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EAE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EAE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EAE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EAE1" w:themeColor="accent4"/>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61587E"/>
    <w:pPr>
      <w:spacing w:after="0" w:line="240" w:lineRule="auto"/>
    </w:pPr>
    <w:rPr>
      <w:color w:val="BC3C00" w:themeColor="accent5"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C52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C52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52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5200" w:themeColor="accent5"/>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61587E"/>
    <w:pPr>
      <w:spacing w:after="0" w:line="240" w:lineRule="auto"/>
    </w:pPr>
    <w:rPr>
      <w:color w:val="BFBFBF" w:themeColor="accent6"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61587E"/>
    <w:pPr>
      <w:spacing w:after="120"/>
      <w:ind w:left="283"/>
      <w:contextualSpacing/>
    </w:pPr>
  </w:style>
  <w:style w:type="paragraph" w:styleId="Lijstvoortzetting2">
    <w:name w:val="List Continue 2"/>
    <w:basedOn w:val="Standaard"/>
    <w:uiPriority w:val="59"/>
    <w:semiHidden/>
    <w:unhideWhenUsed/>
    <w:rsid w:val="0061587E"/>
    <w:pPr>
      <w:spacing w:after="120"/>
      <w:ind w:left="566"/>
      <w:contextualSpacing/>
    </w:pPr>
  </w:style>
  <w:style w:type="paragraph" w:styleId="Lijstvoortzetting3">
    <w:name w:val="List Continue 3"/>
    <w:basedOn w:val="Standaard"/>
    <w:uiPriority w:val="59"/>
    <w:semiHidden/>
    <w:unhideWhenUsed/>
    <w:rsid w:val="0061587E"/>
    <w:pPr>
      <w:spacing w:after="120"/>
      <w:ind w:left="849"/>
      <w:contextualSpacing/>
    </w:pPr>
  </w:style>
  <w:style w:type="paragraph" w:styleId="Lijstvoortzetting4">
    <w:name w:val="List Continue 4"/>
    <w:basedOn w:val="Standaard"/>
    <w:uiPriority w:val="59"/>
    <w:semiHidden/>
    <w:unhideWhenUsed/>
    <w:rsid w:val="0061587E"/>
    <w:pPr>
      <w:spacing w:after="120"/>
      <w:ind w:left="1132"/>
      <w:contextualSpacing/>
    </w:pPr>
  </w:style>
  <w:style w:type="paragraph" w:styleId="Lijstvoortzetting5">
    <w:name w:val="List Continue 5"/>
    <w:basedOn w:val="Standaard"/>
    <w:uiPriority w:val="59"/>
    <w:semiHidden/>
    <w:unhideWhenUsed/>
    <w:rsid w:val="0061587E"/>
    <w:pPr>
      <w:spacing w:after="120"/>
      <w:ind w:left="1415"/>
      <w:contextualSpacing/>
    </w:pPr>
  </w:style>
  <w:style w:type="character" w:styleId="Nadruk">
    <w:name w:val="Emphasis"/>
    <w:basedOn w:val="Standaardalinea-lettertype"/>
    <w:uiPriority w:val="59"/>
    <w:qFormat/>
    <w:rsid w:val="0061587E"/>
    <w:rPr>
      <w:i/>
      <w:iCs/>
    </w:rPr>
  </w:style>
  <w:style w:type="paragraph" w:styleId="Normaalweb">
    <w:name w:val="Normal (Web)"/>
    <w:basedOn w:val="Standaard"/>
    <w:uiPriority w:val="59"/>
    <w:semiHidden/>
    <w:unhideWhenUsed/>
    <w:rsid w:val="0061587E"/>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61587E"/>
    <w:pPr>
      <w:spacing w:line="240" w:lineRule="auto"/>
    </w:pPr>
  </w:style>
  <w:style w:type="character" w:customStyle="1" w:styleId="NotitiekopChar">
    <w:name w:val="Notitiekop Char"/>
    <w:basedOn w:val="Standaardalinea-lettertype"/>
    <w:link w:val="Notitiekop"/>
    <w:uiPriority w:val="59"/>
    <w:semiHidden/>
    <w:rsid w:val="0061587E"/>
    <w:rPr>
      <w:rFonts w:ascii="Merriweather" w:hAnsi="Merriweather"/>
      <w:kern w:val="0"/>
      <w:sz w:val="17"/>
      <w:szCs w:val="20"/>
      <w:lang w:val="en-US"/>
      <w14:ligatures w14:val="none"/>
    </w:rPr>
  </w:style>
  <w:style w:type="paragraph" w:styleId="Tekstopmerking">
    <w:name w:val="annotation text"/>
    <w:basedOn w:val="Standaard"/>
    <w:link w:val="TekstopmerkingChar"/>
    <w:uiPriority w:val="59"/>
    <w:semiHidden/>
    <w:unhideWhenUsed/>
    <w:rsid w:val="0061587E"/>
    <w:pPr>
      <w:spacing w:line="240" w:lineRule="auto"/>
    </w:pPr>
  </w:style>
  <w:style w:type="character" w:customStyle="1" w:styleId="TekstopmerkingChar">
    <w:name w:val="Tekst opmerking Char"/>
    <w:basedOn w:val="Standaardalinea-lettertype"/>
    <w:link w:val="Tekstopmerking"/>
    <w:uiPriority w:val="59"/>
    <w:semiHidden/>
    <w:rsid w:val="0061587E"/>
    <w:rPr>
      <w:rFonts w:ascii="Merriweather" w:hAnsi="Merriweather"/>
      <w:kern w:val="0"/>
      <w:sz w:val="17"/>
      <w:szCs w:val="20"/>
      <w:lang w:val="en-US"/>
      <w14:ligatures w14:val="none"/>
    </w:rPr>
  </w:style>
  <w:style w:type="paragraph" w:styleId="Onderwerpvanopmerking">
    <w:name w:val="annotation subject"/>
    <w:basedOn w:val="Tekstopmerking"/>
    <w:next w:val="Tekstopmerking"/>
    <w:link w:val="OnderwerpvanopmerkingChar"/>
    <w:uiPriority w:val="59"/>
    <w:semiHidden/>
    <w:unhideWhenUsed/>
    <w:rsid w:val="0061587E"/>
    <w:rPr>
      <w:b/>
      <w:bCs/>
    </w:rPr>
  </w:style>
  <w:style w:type="character" w:customStyle="1" w:styleId="OnderwerpvanopmerkingChar">
    <w:name w:val="Onderwerp van opmerking Char"/>
    <w:basedOn w:val="TekstopmerkingChar"/>
    <w:link w:val="Onderwerpvanopmerking"/>
    <w:uiPriority w:val="59"/>
    <w:semiHidden/>
    <w:rsid w:val="0061587E"/>
    <w:rPr>
      <w:rFonts w:ascii="Merriweather" w:hAnsi="Merriweather"/>
      <w:b/>
      <w:bCs/>
      <w:kern w:val="0"/>
      <w:sz w:val="17"/>
      <w:szCs w:val="20"/>
      <w:lang w:val="en-US"/>
      <w14:ligatures w14:val="none"/>
    </w:rPr>
  </w:style>
  <w:style w:type="character" w:styleId="Onopgelostemelding">
    <w:name w:val="Unresolved Mention"/>
    <w:basedOn w:val="Standaardalinea-lettertype"/>
    <w:uiPriority w:val="59"/>
    <w:semiHidden/>
    <w:unhideWhenUsed/>
    <w:rsid w:val="0061587E"/>
    <w:rPr>
      <w:color w:val="605E5C"/>
      <w:shd w:val="clear" w:color="auto" w:fill="E1DFDD"/>
    </w:rPr>
  </w:style>
  <w:style w:type="table" w:styleId="Onopgemaaktetabel1">
    <w:name w:val="Plain Table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61587E"/>
    <w:pPr>
      <w:spacing w:after="0" w:line="240" w:lineRule="auto"/>
    </w:pPr>
    <w:rPr>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61587E"/>
    <w:pPr>
      <w:spacing w:after="120"/>
    </w:pPr>
  </w:style>
  <w:style w:type="character" w:customStyle="1" w:styleId="PlattetekstChar">
    <w:name w:val="Platte tekst Char"/>
    <w:basedOn w:val="Standaardalinea-lettertype"/>
    <w:link w:val="Plattetekst"/>
    <w:uiPriority w:val="59"/>
    <w:semiHidden/>
    <w:rsid w:val="0061587E"/>
    <w:rPr>
      <w:rFonts w:ascii="Merriweather" w:hAnsi="Merriweather"/>
      <w:kern w:val="0"/>
      <w:sz w:val="17"/>
      <w:szCs w:val="20"/>
      <w:lang w:val="en-US"/>
      <w14:ligatures w14:val="none"/>
    </w:rPr>
  </w:style>
  <w:style w:type="paragraph" w:styleId="Plattetekst2">
    <w:name w:val="Body Text 2"/>
    <w:basedOn w:val="Standaard"/>
    <w:link w:val="Plattetekst2Char"/>
    <w:uiPriority w:val="59"/>
    <w:semiHidden/>
    <w:unhideWhenUsed/>
    <w:rsid w:val="0061587E"/>
    <w:pPr>
      <w:spacing w:after="120" w:line="480" w:lineRule="auto"/>
    </w:pPr>
  </w:style>
  <w:style w:type="character" w:customStyle="1" w:styleId="Plattetekst2Char">
    <w:name w:val="Platte tekst 2 Char"/>
    <w:basedOn w:val="Standaardalinea-lettertype"/>
    <w:link w:val="Plattetekst2"/>
    <w:uiPriority w:val="59"/>
    <w:semiHidden/>
    <w:rsid w:val="0061587E"/>
    <w:rPr>
      <w:rFonts w:ascii="Merriweather" w:hAnsi="Merriweather"/>
      <w:kern w:val="0"/>
      <w:sz w:val="17"/>
      <w:szCs w:val="20"/>
      <w:lang w:val="en-US"/>
      <w14:ligatures w14:val="none"/>
    </w:rPr>
  </w:style>
  <w:style w:type="paragraph" w:styleId="Plattetekst3">
    <w:name w:val="Body Text 3"/>
    <w:basedOn w:val="Standaard"/>
    <w:link w:val="Plattetekst3Char"/>
    <w:uiPriority w:val="59"/>
    <w:semiHidden/>
    <w:unhideWhenUsed/>
    <w:rsid w:val="0061587E"/>
    <w:pPr>
      <w:spacing w:after="120"/>
    </w:pPr>
    <w:rPr>
      <w:sz w:val="16"/>
      <w:szCs w:val="16"/>
    </w:rPr>
  </w:style>
  <w:style w:type="character" w:customStyle="1" w:styleId="Plattetekst3Char">
    <w:name w:val="Platte tekst 3 Char"/>
    <w:basedOn w:val="Standaardalinea-lettertype"/>
    <w:link w:val="Plattetekst3"/>
    <w:uiPriority w:val="59"/>
    <w:semiHidden/>
    <w:rsid w:val="0061587E"/>
    <w:rPr>
      <w:rFonts w:ascii="Merriweather" w:hAnsi="Merriweather"/>
      <w:kern w:val="0"/>
      <w:sz w:val="16"/>
      <w:szCs w:val="16"/>
      <w:lang w:val="en-US"/>
      <w14:ligatures w14:val="none"/>
    </w:rPr>
  </w:style>
  <w:style w:type="paragraph" w:styleId="Platteteksteersteinspringing">
    <w:name w:val="Body Text First Indent"/>
    <w:basedOn w:val="Plattetekst"/>
    <w:link w:val="PlatteteksteersteinspringingChar"/>
    <w:uiPriority w:val="59"/>
    <w:semiHidden/>
    <w:unhideWhenUsed/>
    <w:rsid w:val="0061587E"/>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61587E"/>
    <w:rPr>
      <w:rFonts w:ascii="Merriweather" w:hAnsi="Merriweather"/>
      <w:kern w:val="0"/>
      <w:sz w:val="17"/>
      <w:szCs w:val="20"/>
      <w:lang w:val="en-US"/>
      <w14:ligatures w14:val="none"/>
    </w:rPr>
  </w:style>
  <w:style w:type="paragraph" w:styleId="Plattetekstinspringen">
    <w:name w:val="Body Text Indent"/>
    <w:basedOn w:val="Standaard"/>
    <w:link w:val="PlattetekstinspringenChar"/>
    <w:uiPriority w:val="59"/>
    <w:semiHidden/>
    <w:unhideWhenUsed/>
    <w:rsid w:val="0061587E"/>
    <w:pPr>
      <w:spacing w:after="120"/>
      <w:ind w:left="283"/>
    </w:pPr>
  </w:style>
  <w:style w:type="character" w:customStyle="1" w:styleId="PlattetekstinspringenChar">
    <w:name w:val="Platte tekst inspringen Char"/>
    <w:basedOn w:val="Standaardalinea-lettertype"/>
    <w:link w:val="Plattetekstinspringen"/>
    <w:uiPriority w:val="59"/>
    <w:semiHidden/>
    <w:rsid w:val="0061587E"/>
    <w:rPr>
      <w:rFonts w:ascii="Merriweather" w:hAnsi="Merriweather"/>
      <w:kern w:val="0"/>
      <w:sz w:val="17"/>
      <w:szCs w:val="20"/>
      <w:lang w:val="en-US"/>
      <w14:ligatures w14:val="none"/>
    </w:rPr>
  </w:style>
  <w:style w:type="paragraph" w:styleId="Platteteksteersteinspringing2">
    <w:name w:val="Body Text First Indent 2"/>
    <w:basedOn w:val="Plattetekstinspringen"/>
    <w:link w:val="Platteteksteersteinspringing2Char"/>
    <w:uiPriority w:val="59"/>
    <w:semiHidden/>
    <w:unhideWhenUsed/>
    <w:rsid w:val="0061587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61587E"/>
    <w:rPr>
      <w:rFonts w:ascii="Merriweather" w:hAnsi="Merriweather"/>
      <w:kern w:val="0"/>
      <w:sz w:val="17"/>
      <w:szCs w:val="20"/>
      <w:lang w:val="en-US"/>
      <w14:ligatures w14:val="none"/>
    </w:rPr>
  </w:style>
  <w:style w:type="paragraph" w:styleId="Plattetekstinspringen2">
    <w:name w:val="Body Text Indent 2"/>
    <w:basedOn w:val="Standaard"/>
    <w:link w:val="Plattetekstinspringen2Char"/>
    <w:uiPriority w:val="59"/>
    <w:semiHidden/>
    <w:unhideWhenUsed/>
    <w:rsid w:val="0061587E"/>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61587E"/>
    <w:rPr>
      <w:rFonts w:ascii="Merriweather" w:hAnsi="Merriweather"/>
      <w:kern w:val="0"/>
      <w:sz w:val="17"/>
      <w:szCs w:val="20"/>
      <w:lang w:val="en-US"/>
      <w14:ligatures w14:val="none"/>
    </w:rPr>
  </w:style>
  <w:style w:type="paragraph" w:styleId="Plattetekstinspringen3">
    <w:name w:val="Body Text Indent 3"/>
    <w:basedOn w:val="Standaard"/>
    <w:link w:val="Plattetekstinspringen3Char"/>
    <w:uiPriority w:val="59"/>
    <w:semiHidden/>
    <w:unhideWhenUsed/>
    <w:rsid w:val="0061587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61587E"/>
    <w:rPr>
      <w:rFonts w:ascii="Merriweather" w:hAnsi="Merriweather"/>
      <w:kern w:val="0"/>
      <w:sz w:val="16"/>
      <w:szCs w:val="16"/>
      <w:lang w:val="en-US"/>
      <w14:ligatures w14:val="none"/>
    </w:rPr>
  </w:style>
  <w:style w:type="table" w:styleId="Professioneletabel">
    <w:name w:val="Table Professional"/>
    <w:basedOn w:val="Standaardtabel"/>
    <w:uiPriority w:val="59"/>
    <w:semiHidden/>
    <w:unhideWhenUsed/>
    <w:rsid w:val="0061587E"/>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73D1AC" w:themeColor="accent1" w:themeTint="66"/>
        <w:left w:val="single" w:sz="4" w:space="0" w:color="73D1AC" w:themeColor="accent1" w:themeTint="66"/>
        <w:bottom w:val="single" w:sz="4" w:space="0" w:color="73D1AC" w:themeColor="accent1" w:themeTint="66"/>
        <w:right w:val="single" w:sz="4" w:space="0" w:color="73D1AC" w:themeColor="accent1" w:themeTint="66"/>
        <w:insideH w:val="single" w:sz="4" w:space="0" w:color="73D1AC" w:themeColor="accent1" w:themeTint="66"/>
        <w:insideV w:val="single" w:sz="4" w:space="0" w:color="73D1AC" w:themeColor="accent1" w:themeTint="66"/>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2" w:space="0" w:color="39B080"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4CFFBB" w:themeColor="accent2" w:themeTint="66"/>
        <w:left w:val="single" w:sz="4" w:space="0" w:color="4CFFBB" w:themeColor="accent2" w:themeTint="66"/>
        <w:bottom w:val="single" w:sz="4" w:space="0" w:color="4CFFBB" w:themeColor="accent2" w:themeTint="66"/>
        <w:right w:val="single" w:sz="4" w:space="0" w:color="4CFFBB" w:themeColor="accent2" w:themeTint="66"/>
        <w:insideH w:val="single" w:sz="4" w:space="0" w:color="4CFFBB" w:themeColor="accent2" w:themeTint="66"/>
        <w:insideV w:val="single" w:sz="4" w:space="0" w:color="4CFFBB" w:themeColor="accent2" w:themeTint="66"/>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2" w:space="0" w:color="00F297"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BFBF8" w:themeColor="accent3" w:themeTint="66"/>
        <w:left w:val="single" w:sz="4" w:space="0" w:color="FBFBF8" w:themeColor="accent3" w:themeTint="66"/>
        <w:bottom w:val="single" w:sz="4" w:space="0" w:color="FBFBF8" w:themeColor="accent3" w:themeTint="66"/>
        <w:right w:val="single" w:sz="4" w:space="0" w:color="FBFBF8" w:themeColor="accent3" w:themeTint="66"/>
        <w:insideH w:val="single" w:sz="4" w:space="0" w:color="FBFBF8" w:themeColor="accent3" w:themeTint="66"/>
        <w:insideV w:val="single" w:sz="4" w:space="0" w:color="FBFBF8" w:themeColor="accent3" w:themeTint="66"/>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2" w:space="0" w:color="FAFA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AF6F2" w:themeColor="accent4" w:themeTint="66"/>
        <w:left w:val="single" w:sz="4" w:space="0" w:color="FAF6F2" w:themeColor="accent4" w:themeTint="66"/>
        <w:bottom w:val="single" w:sz="4" w:space="0" w:color="FAF6F2" w:themeColor="accent4" w:themeTint="66"/>
        <w:right w:val="single" w:sz="4" w:space="0" w:color="FAF6F2" w:themeColor="accent4" w:themeTint="66"/>
        <w:insideH w:val="single" w:sz="4" w:space="0" w:color="FAF6F2" w:themeColor="accent4" w:themeTint="66"/>
        <w:insideV w:val="single" w:sz="4" w:space="0" w:color="FAF6F2" w:themeColor="accent4" w:themeTint="66"/>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2" w:space="0" w:color="F7F2E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B897" w:themeColor="accent5" w:themeTint="66"/>
        <w:left w:val="single" w:sz="4" w:space="0" w:color="FFB897" w:themeColor="accent5" w:themeTint="66"/>
        <w:bottom w:val="single" w:sz="4" w:space="0" w:color="FFB897" w:themeColor="accent5" w:themeTint="66"/>
        <w:right w:val="single" w:sz="4" w:space="0" w:color="FFB897" w:themeColor="accent5" w:themeTint="66"/>
        <w:insideH w:val="single" w:sz="4" w:space="0" w:color="FFB897" w:themeColor="accent5" w:themeTint="66"/>
        <w:insideV w:val="single" w:sz="4" w:space="0" w:color="FFB897" w:themeColor="accent5" w:themeTint="66"/>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2" w:space="0" w:color="FF956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39B080" w:themeColor="accent1" w:themeTint="99"/>
        <w:bottom w:val="single" w:sz="2" w:space="0" w:color="39B080" w:themeColor="accent1" w:themeTint="99"/>
        <w:insideH w:val="single" w:sz="2" w:space="0" w:color="39B080" w:themeColor="accent1" w:themeTint="99"/>
        <w:insideV w:val="single" w:sz="2" w:space="0" w:color="39B080" w:themeColor="accent1" w:themeTint="99"/>
      </w:tblBorders>
    </w:tblPr>
    <w:tblStylePr w:type="firstRow">
      <w:rPr>
        <w:b/>
        <w:bCs/>
      </w:rPr>
      <w:tblPr/>
      <w:tcPr>
        <w:tcBorders>
          <w:top w:val="nil"/>
          <w:bottom w:val="single" w:sz="12" w:space="0" w:color="39B080" w:themeColor="accent1" w:themeTint="99"/>
          <w:insideH w:val="nil"/>
          <w:insideV w:val="nil"/>
        </w:tcBorders>
        <w:shd w:val="clear" w:color="auto" w:fill="FFFFFF" w:themeFill="background1"/>
      </w:tcPr>
    </w:tblStylePr>
    <w:tblStylePr w:type="lastRow">
      <w:rPr>
        <w:b/>
        <w:bCs/>
      </w:rPr>
      <w:tblPr/>
      <w:tcPr>
        <w:tcBorders>
          <w:top w:val="double" w:sz="2" w:space="0" w:color="39B0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2-Accent2">
    <w:name w:val="Grid Table 2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00F297" w:themeColor="accent2" w:themeTint="99"/>
        <w:bottom w:val="single" w:sz="2" w:space="0" w:color="00F297" w:themeColor="accent2" w:themeTint="99"/>
        <w:insideH w:val="single" w:sz="2" w:space="0" w:color="00F297" w:themeColor="accent2" w:themeTint="99"/>
        <w:insideV w:val="single" w:sz="2" w:space="0" w:color="00F297" w:themeColor="accent2" w:themeTint="99"/>
      </w:tblBorders>
    </w:tblPr>
    <w:tblStylePr w:type="firstRow">
      <w:rPr>
        <w:b/>
        <w:bCs/>
      </w:rPr>
      <w:tblPr/>
      <w:tcPr>
        <w:tcBorders>
          <w:top w:val="nil"/>
          <w:bottom w:val="single" w:sz="12" w:space="0" w:color="00F297" w:themeColor="accent2" w:themeTint="99"/>
          <w:insideH w:val="nil"/>
          <w:insideV w:val="nil"/>
        </w:tcBorders>
        <w:shd w:val="clear" w:color="auto" w:fill="FFFFFF" w:themeFill="background1"/>
      </w:tcPr>
    </w:tblStylePr>
    <w:tblStylePr w:type="lastRow">
      <w:rPr>
        <w:b/>
        <w:bCs/>
      </w:rPr>
      <w:tblPr/>
      <w:tcPr>
        <w:tcBorders>
          <w:top w:val="double" w:sz="2" w:space="0" w:color="00F29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2-Accent3">
    <w:name w:val="Grid Table 2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FAFAF4" w:themeColor="accent3" w:themeTint="99"/>
        <w:bottom w:val="single" w:sz="2" w:space="0" w:color="FAFAF4" w:themeColor="accent3" w:themeTint="99"/>
        <w:insideH w:val="single" w:sz="2" w:space="0" w:color="FAFAF4" w:themeColor="accent3" w:themeTint="99"/>
        <w:insideV w:val="single" w:sz="2" w:space="0" w:color="FAFAF4" w:themeColor="accent3" w:themeTint="99"/>
      </w:tblBorders>
    </w:tblPr>
    <w:tblStylePr w:type="firstRow">
      <w:rPr>
        <w:b/>
        <w:bCs/>
      </w:rPr>
      <w:tblPr/>
      <w:tcPr>
        <w:tcBorders>
          <w:top w:val="nil"/>
          <w:bottom w:val="single" w:sz="12" w:space="0" w:color="FAFAF4" w:themeColor="accent3" w:themeTint="99"/>
          <w:insideH w:val="nil"/>
          <w:insideV w:val="nil"/>
        </w:tcBorders>
        <w:shd w:val="clear" w:color="auto" w:fill="FFFFFF" w:themeFill="background1"/>
      </w:tcPr>
    </w:tblStylePr>
    <w:tblStylePr w:type="lastRow">
      <w:rPr>
        <w:b/>
        <w:bCs/>
      </w:rPr>
      <w:tblPr/>
      <w:tcPr>
        <w:tcBorders>
          <w:top w:val="double" w:sz="2" w:space="0" w:color="FAFA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2-Accent4">
    <w:name w:val="Grid Table 2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F7F2EC" w:themeColor="accent4" w:themeTint="99"/>
        <w:bottom w:val="single" w:sz="2" w:space="0" w:color="F7F2EC" w:themeColor="accent4" w:themeTint="99"/>
        <w:insideH w:val="single" w:sz="2" w:space="0" w:color="F7F2EC" w:themeColor="accent4" w:themeTint="99"/>
        <w:insideV w:val="single" w:sz="2" w:space="0" w:color="F7F2EC" w:themeColor="accent4" w:themeTint="99"/>
      </w:tblBorders>
    </w:tblPr>
    <w:tblStylePr w:type="firstRow">
      <w:rPr>
        <w:b/>
        <w:bCs/>
      </w:rPr>
      <w:tblPr/>
      <w:tcPr>
        <w:tcBorders>
          <w:top w:val="nil"/>
          <w:bottom w:val="single" w:sz="12" w:space="0" w:color="F7F2EC" w:themeColor="accent4" w:themeTint="99"/>
          <w:insideH w:val="nil"/>
          <w:insideV w:val="nil"/>
        </w:tcBorders>
        <w:shd w:val="clear" w:color="auto" w:fill="FFFFFF" w:themeFill="background1"/>
      </w:tcPr>
    </w:tblStylePr>
    <w:tblStylePr w:type="lastRow">
      <w:rPr>
        <w:b/>
        <w:bCs/>
      </w:rPr>
      <w:tblPr/>
      <w:tcPr>
        <w:tcBorders>
          <w:top w:val="double" w:sz="2" w:space="0" w:color="F7F2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2-Accent5">
    <w:name w:val="Grid Table 2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FF9564" w:themeColor="accent5" w:themeTint="99"/>
        <w:bottom w:val="single" w:sz="2" w:space="0" w:color="FF9564" w:themeColor="accent5" w:themeTint="99"/>
        <w:insideH w:val="single" w:sz="2" w:space="0" w:color="FF9564" w:themeColor="accent5" w:themeTint="99"/>
        <w:insideV w:val="single" w:sz="2" w:space="0" w:color="FF9564" w:themeColor="accent5" w:themeTint="99"/>
      </w:tblBorders>
    </w:tblPr>
    <w:tblStylePr w:type="firstRow">
      <w:rPr>
        <w:b/>
        <w:bCs/>
      </w:rPr>
      <w:tblPr/>
      <w:tcPr>
        <w:tcBorders>
          <w:top w:val="nil"/>
          <w:bottom w:val="single" w:sz="12" w:space="0" w:color="FF9564" w:themeColor="accent5" w:themeTint="99"/>
          <w:insideH w:val="nil"/>
          <w:insideV w:val="nil"/>
        </w:tcBorders>
        <w:shd w:val="clear" w:color="auto" w:fill="FFFFFF" w:themeFill="background1"/>
      </w:tcPr>
    </w:tblStylePr>
    <w:tblStylePr w:type="lastRow">
      <w:rPr>
        <w:b/>
        <w:bCs/>
      </w:rPr>
      <w:tblPr/>
      <w:tcPr>
        <w:tcBorders>
          <w:top w:val="double" w:sz="2" w:space="0" w:color="FF956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2-Accent6">
    <w:name w:val="Grid Table 2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3-Accent2">
    <w:name w:val="Grid Table 3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3-Accent3">
    <w:name w:val="Grid Table 3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3-Accent4">
    <w:name w:val="Grid Table 3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3-Accent5">
    <w:name w:val="Grid Table 3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3-Accent6">
    <w:name w:val="Grid Table 3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insideV w:val="nil"/>
        </w:tcBorders>
        <w:shd w:val="clear" w:color="auto" w:fill="0C251B" w:themeFill="accent1"/>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4-Accent2">
    <w:name w:val="Grid Table 4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insideV w:val="nil"/>
        </w:tcBorders>
        <w:shd w:val="clear" w:color="auto" w:fill="004028" w:themeFill="accent2"/>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4-Accent3">
    <w:name w:val="Grid Table 4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insideV w:val="nil"/>
        </w:tcBorders>
        <w:shd w:val="clear" w:color="auto" w:fill="F7F7EE" w:themeFill="accent3"/>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4-Accent4">
    <w:name w:val="Grid Table 4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insideV w:val="nil"/>
        </w:tcBorders>
        <w:shd w:val="clear" w:color="auto" w:fill="F3EAE1" w:themeFill="accent4"/>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4-Accent5">
    <w:name w:val="Grid Table 4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insideV w:val="nil"/>
        </w:tcBorders>
        <w:shd w:val="clear" w:color="auto" w:fill="FC5200" w:themeFill="accent5"/>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4-Accent6">
    <w:name w:val="Grid Table 4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8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251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251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251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251B" w:themeFill="accent1"/>
      </w:tcPr>
    </w:tblStylePr>
    <w:tblStylePr w:type="band1Vert">
      <w:tblPr/>
      <w:tcPr>
        <w:shd w:val="clear" w:color="auto" w:fill="73D1AC" w:themeFill="accent1" w:themeFillTint="66"/>
      </w:tcPr>
    </w:tblStylePr>
    <w:tblStylePr w:type="band1Horz">
      <w:tblPr/>
      <w:tcPr>
        <w:shd w:val="clear" w:color="auto" w:fill="73D1AC" w:themeFill="accent1" w:themeFillTint="66"/>
      </w:tcPr>
    </w:tblStylePr>
  </w:style>
  <w:style w:type="table" w:styleId="Rastertabel5donker-Accent2">
    <w:name w:val="Grid Table 5 Dark Accent 2"/>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FF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028" w:themeFill="accent2"/>
      </w:tcPr>
    </w:tblStylePr>
    <w:tblStylePr w:type="band1Vert">
      <w:tblPr/>
      <w:tcPr>
        <w:shd w:val="clear" w:color="auto" w:fill="4CFFBB" w:themeFill="accent2" w:themeFillTint="66"/>
      </w:tcPr>
    </w:tblStylePr>
    <w:tblStylePr w:type="band1Horz">
      <w:tblPr/>
      <w:tcPr>
        <w:shd w:val="clear" w:color="auto" w:fill="4CFFBB" w:themeFill="accent2" w:themeFillTint="66"/>
      </w:tcPr>
    </w:tblStylePr>
  </w:style>
  <w:style w:type="table" w:styleId="Rastertabel5donker-Accent3">
    <w:name w:val="Grid Table 5 Dark Accent 3"/>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F7E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F7E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F7E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F7EE" w:themeFill="accent3"/>
      </w:tcPr>
    </w:tblStylePr>
    <w:tblStylePr w:type="band1Vert">
      <w:tblPr/>
      <w:tcPr>
        <w:shd w:val="clear" w:color="auto" w:fill="FBFBF8" w:themeFill="accent3" w:themeFillTint="66"/>
      </w:tcPr>
    </w:tblStylePr>
    <w:tblStylePr w:type="band1Horz">
      <w:tblPr/>
      <w:tcPr>
        <w:shd w:val="clear" w:color="auto" w:fill="FBFBF8" w:themeFill="accent3" w:themeFillTint="66"/>
      </w:tcPr>
    </w:tblStylePr>
  </w:style>
  <w:style w:type="table" w:styleId="Rastertabel5donker-Accent4">
    <w:name w:val="Grid Table 5 Dark Accent 4"/>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EA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EA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EA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EAE1" w:themeFill="accent4"/>
      </w:tcPr>
    </w:tblStylePr>
    <w:tblStylePr w:type="band1Vert">
      <w:tblPr/>
      <w:tcPr>
        <w:shd w:val="clear" w:color="auto" w:fill="FAF6F2" w:themeFill="accent4" w:themeFillTint="66"/>
      </w:tcPr>
    </w:tblStylePr>
    <w:tblStylePr w:type="band1Horz">
      <w:tblPr/>
      <w:tcPr>
        <w:shd w:val="clear" w:color="auto" w:fill="FAF6F2" w:themeFill="accent4" w:themeFillTint="66"/>
      </w:tcPr>
    </w:tblStylePr>
  </w:style>
  <w:style w:type="table" w:styleId="Rastertabel5donker-Accent5">
    <w:name w:val="Grid Table 5 Dark Accent 5"/>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B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52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52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52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5200" w:themeFill="accent5"/>
      </w:tcPr>
    </w:tblStylePr>
    <w:tblStylePr w:type="band1Vert">
      <w:tblPr/>
      <w:tcPr>
        <w:shd w:val="clear" w:color="auto" w:fill="FFB897" w:themeFill="accent5" w:themeFillTint="66"/>
      </w:tcPr>
    </w:tblStylePr>
    <w:tblStylePr w:type="band1Horz">
      <w:tblPr/>
      <w:tcPr>
        <w:shd w:val="clear" w:color="auto" w:fill="FFB897" w:themeFill="accent5" w:themeFillTint="66"/>
      </w:tcPr>
    </w:tblStylePr>
  </w:style>
  <w:style w:type="table" w:styleId="Rastertabel5donker-Accent6">
    <w:name w:val="Grid Table 5 Dark Accent 6"/>
    <w:basedOn w:val="Standaardtabel"/>
    <w:uiPriority w:val="59"/>
    <w:rsid w:val="0061587E"/>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61587E"/>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6kleurrijk-Accent2">
    <w:name w:val="Grid Table 6 Colorful Accent 2"/>
    <w:basedOn w:val="Standaardtabel"/>
    <w:uiPriority w:val="59"/>
    <w:rsid w:val="0061587E"/>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6kleurrijk-Accent3">
    <w:name w:val="Grid Table 6 Colorful Accent 3"/>
    <w:basedOn w:val="Standaardtabel"/>
    <w:uiPriority w:val="59"/>
    <w:rsid w:val="0061587E"/>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6kleurrijk-Accent4">
    <w:name w:val="Grid Table 6 Colorful Accent 4"/>
    <w:basedOn w:val="Standaardtabel"/>
    <w:uiPriority w:val="59"/>
    <w:rsid w:val="0061587E"/>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6kleurrijk-Accent5">
    <w:name w:val="Grid Table 6 Colorful Accent 5"/>
    <w:basedOn w:val="Standaardtabel"/>
    <w:uiPriority w:val="59"/>
    <w:rsid w:val="0061587E"/>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6kleurrijk-Accent6">
    <w:name w:val="Grid Table 6 Colorful Accent 6"/>
    <w:basedOn w:val="Standaardtabel"/>
    <w:uiPriority w:val="59"/>
    <w:rsid w:val="0061587E"/>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9"/>
    <w:rsid w:val="0061587E"/>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61587E"/>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7kleurrijk-Accent2">
    <w:name w:val="Grid Table 7 Colorful Accent 2"/>
    <w:basedOn w:val="Standaardtabel"/>
    <w:uiPriority w:val="59"/>
    <w:rsid w:val="0061587E"/>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7kleurrijk-Accent3">
    <w:name w:val="Grid Table 7 Colorful Accent 3"/>
    <w:basedOn w:val="Standaardtabel"/>
    <w:uiPriority w:val="59"/>
    <w:rsid w:val="0061587E"/>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7kleurrijk-Accent4">
    <w:name w:val="Grid Table 7 Colorful Accent 4"/>
    <w:basedOn w:val="Standaardtabel"/>
    <w:uiPriority w:val="59"/>
    <w:rsid w:val="0061587E"/>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7kleurrijk-Accent5">
    <w:name w:val="Grid Table 7 Colorful Accent 5"/>
    <w:basedOn w:val="Standaardtabel"/>
    <w:uiPriority w:val="59"/>
    <w:rsid w:val="0061587E"/>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7kleurrijk-Accent6">
    <w:name w:val="Grid Table 7 Colorful Accent 6"/>
    <w:basedOn w:val="Standaardtabel"/>
    <w:uiPriority w:val="59"/>
    <w:rsid w:val="0061587E"/>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styleId="Regelnummer">
    <w:name w:val="line number"/>
    <w:basedOn w:val="Standaardalinea-lettertype"/>
    <w:uiPriority w:val="59"/>
    <w:semiHidden/>
    <w:unhideWhenUsed/>
    <w:rsid w:val="0061587E"/>
  </w:style>
  <w:style w:type="character" w:styleId="Slimmehyperlink">
    <w:name w:val="Smart Hyperlink"/>
    <w:basedOn w:val="Standaardalinea-lettertype"/>
    <w:uiPriority w:val="59"/>
    <w:semiHidden/>
    <w:unhideWhenUsed/>
    <w:rsid w:val="0061587E"/>
    <w:rPr>
      <w:u w:val="dotted"/>
    </w:rPr>
  </w:style>
  <w:style w:type="character" w:styleId="SmartLink">
    <w:name w:val="Smart Link"/>
    <w:basedOn w:val="Standaardalinea-lettertype"/>
    <w:uiPriority w:val="59"/>
    <w:semiHidden/>
    <w:unhideWhenUsed/>
    <w:rsid w:val="0061587E"/>
    <w:rPr>
      <w:color w:val="0000FF"/>
      <w:u w:val="single"/>
      <w:shd w:val="clear" w:color="auto" w:fill="F3F2F1"/>
    </w:rPr>
  </w:style>
  <w:style w:type="character" w:styleId="Subtielebenadrukking">
    <w:name w:val="Subtle Emphasis"/>
    <w:basedOn w:val="Standaardalinea-lettertype"/>
    <w:uiPriority w:val="59"/>
    <w:qFormat/>
    <w:rsid w:val="0061587E"/>
    <w:rPr>
      <w:i/>
      <w:iCs/>
      <w:color w:val="404040" w:themeColor="text1" w:themeTint="BF"/>
    </w:rPr>
  </w:style>
  <w:style w:type="character" w:styleId="Subtieleverwijzing">
    <w:name w:val="Subtle Reference"/>
    <w:basedOn w:val="Standaardalinea-lettertype"/>
    <w:uiPriority w:val="59"/>
    <w:qFormat/>
    <w:rsid w:val="0061587E"/>
    <w:rPr>
      <w:smallCaps/>
      <w:color w:val="5A5A5A" w:themeColor="text1" w:themeTint="A5"/>
    </w:rPr>
  </w:style>
  <w:style w:type="table" w:styleId="Tabelkolommen1">
    <w:name w:val="Table Columns 1"/>
    <w:basedOn w:val="Standaardtabel"/>
    <w:uiPriority w:val="59"/>
    <w:semiHidden/>
    <w:unhideWhenUsed/>
    <w:rsid w:val="0061587E"/>
    <w:pPr>
      <w:spacing w:after="0" w:line="252" w:lineRule="auto"/>
    </w:pPr>
    <w:rPr>
      <w:b/>
      <w:bCs/>
      <w:kern w:val="0"/>
      <w:sz w:val="20"/>
      <w:szCs w:val="20"/>
      <w:lang w:val="en-US"/>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61587E"/>
    <w:pPr>
      <w:spacing w:after="0" w:line="252" w:lineRule="auto"/>
    </w:pPr>
    <w:rPr>
      <w:b/>
      <w:bCs/>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61587E"/>
    <w:pPr>
      <w:spacing w:after="0" w:line="252" w:lineRule="auto"/>
    </w:pPr>
    <w:rPr>
      <w:b/>
      <w:bCs/>
      <w:kern w:val="0"/>
      <w:sz w:val="20"/>
      <w:szCs w:val="20"/>
      <w:lang w:val="en-US"/>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61587E"/>
    <w:pPr>
      <w:spacing w:after="0" w:line="252" w:lineRule="auto"/>
    </w:pPr>
    <w:rPr>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61587E"/>
    <w:pPr>
      <w:spacing w:after="0" w:line="252" w:lineRule="auto"/>
    </w:pPr>
    <w:rPr>
      <w:kern w:val="0"/>
      <w:sz w:val="20"/>
      <w:szCs w:val="20"/>
      <w:lang w:val="en-US"/>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61587E"/>
    <w:pPr>
      <w:spacing w:after="0" w:line="252" w:lineRule="auto"/>
    </w:pPr>
    <w:rPr>
      <w:kern w:val="0"/>
      <w:sz w:val="20"/>
      <w:szCs w:val="20"/>
      <w:lang w:val="en-US"/>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61587E"/>
    <w:pPr>
      <w:spacing w:after="0" w:line="252" w:lineRule="auto"/>
    </w:pPr>
    <w:rPr>
      <w:kern w:val="0"/>
      <w:sz w:val="20"/>
      <w:szCs w:val="20"/>
      <w:lang w:val="en-US"/>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61587E"/>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61587E"/>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61587E"/>
    <w:pPr>
      <w:spacing w:after="0" w:line="252" w:lineRule="auto"/>
    </w:pPr>
    <w:rPr>
      <w:kern w:val="0"/>
      <w:sz w:val="20"/>
      <w:szCs w:val="20"/>
      <w:lang w:val="en-US"/>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61587E"/>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61587E"/>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61587E"/>
    <w:pPr>
      <w:spacing w:after="0" w:line="252" w:lineRule="auto"/>
    </w:pPr>
    <w:rPr>
      <w:kern w:val="0"/>
      <w:sz w:val="20"/>
      <w:szCs w:val="20"/>
      <w:lang w:val="en-US"/>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61587E"/>
    <w:pPr>
      <w:spacing w:after="0" w:line="252" w:lineRule="auto"/>
    </w:pPr>
    <w:rPr>
      <w:kern w:val="0"/>
      <w:sz w:val="20"/>
      <w:szCs w:val="20"/>
      <w:lang w:val="en-US"/>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61587E"/>
    <w:pPr>
      <w:spacing w:after="0" w:line="252" w:lineRule="auto"/>
    </w:pPr>
    <w:rPr>
      <w:kern w:val="0"/>
      <w:sz w:val="20"/>
      <w:szCs w:val="20"/>
      <w:lang w:val="en-US"/>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61587E"/>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61587E"/>
    <w:pPr>
      <w:spacing w:after="0" w:line="252" w:lineRule="auto"/>
    </w:pPr>
    <w:rPr>
      <w:b/>
      <w:bCs/>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61587E"/>
    <w:pPr>
      <w:spacing w:after="0" w:line="252" w:lineRule="auto"/>
    </w:pPr>
    <w:rPr>
      <w:kern w:val="0"/>
      <w:sz w:val="20"/>
      <w:szCs w:val="20"/>
      <w:lang w:val="en-US"/>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61587E"/>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61587E"/>
    <w:pPr>
      <w:spacing w:after="0" w:line="252"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61587E"/>
    <w:rPr>
      <w:color w:val="808080"/>
    </w:rPr>
  </w:style>
  <w:style w:type="paragraph" w:styleId="Tekstzonderopmaak">
    <w:name w:val="Plain Text"/>
    <w:basedOn w:val="Standaard"/>
    <w:link w:val="TekstzonderopmaakChar"/>
    <w:uiPriority w:val="59"/>
    <w:semiHidden/>
    <w:unhideWhenUsed/>
    <w:rsid w:val="0061587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61587E"/>
    <w:rPr>
      <w:rFonts w:ascii="Consolas" w:hAnsi="Consolas"/>
      <w:kern w:val="0"/>
      <w:sz w:val="21"/>
      <w:szCs w:val="21"/>
      <w:lang w:val="en-US"/>
      <w14:ligatures w14:val="none"/>
    </w:rPr>
  </w:style>
  <w:style w:type="character" w:styleId="Titelvanboek">
    <w:name w:val="Book Title"/>
    <w:basedOn w:val="Standaardalinea-lettertype"/>
    <w:uiPriority w:val="59"/>
    <w:qFormat/>
    <w:rsid w:val="0061587E"/>
    <w:rPr>
      <w:b/>
      <w:bCs/>
      <w:i/>
      <w:iCs/>
      <w:spacing w:val="5"/>
    </w:rPr>
  </w:style>
  <w:style w:type="table" w:styleId="Verfijndetabel1">
    <w:name w:val="Table Subtle 1"/>
    <w:basedOn w:val="Standaardtabel"/>
    <w:uiPriority w:val="59"/>
    <w:rsid w:val="0061587E"/>
    <w:pPr>
      <w:spacing w:after="0" w:line="252" w:lineRule="auto"/>
    </w:pPr>
    <w:rPr>
      <w:kern w:val="0"/>
      <w:sz w:val="20"/>
      <w:szCs w:val="20"/>
      <w:lang w:val="en-US"/>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61587E"/>
    <w:pPr>
      <w:spacing w:after="0" w:line="252" w:lineRule="auto"/>
    </w:pPr>
    <w:rPr>
      <w:kern w:val="0"/>
      <w:sz w:val="20"/>
      <w:szCs w:val="20"/>
      <w:lang w:val="en-US"/>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59"/>
    <w:semiHidden/>
    <w:unhideWhenUsed/>
    <w:rsid w:val="0061587E"/>
    <w:rPr>
      <w:color w:val="2B579A"/>
      <w:shd w:val="clear" w:color="auto" w:fill="E1DFDD"/>
    </w:rPr>
  </w:style>
  <w:style w:type="character" w:styleId="Verwijzingopmerking">
    <w:name w:val="annotation reference"/>
    <w:basedOn w:val="Standaardalinea-lettertype"/>
    <w:uiPriority w:val="59"/>
    <w:semiHidden/>
    <w:unhideWhenUsed/>
    <w:rsid w:val="0061587E"/>
    <w:rPr>
      <w:sz w:val="16"/>
      <w:szCs w:val="16"/>
    </w:rPr>
  </w:style>
  <w:style w:type="character" w:styleId="Voetnootmarkering">
    <w:name w:val="footnote reference"/>
    <w:basedOn w:val="Standaardalinea-lettertype"/>
    <w:uiPriority w:val="59"/>
    <w:semiHidden/>
    <w:unhideWhenUsed/>
    <w:rsid w:val="0061587E"/>
    <w:rPr>
      <w:vertAlign w:val="superscript"/>
    </w:rPr>
  </w:style>
  <w:style w:type="paragraph" w:styleId="Voetnoottekst">
    <w:name w:val="footnote text"/>
    <w:basedOn w:val="Standaard"/>
    <w:link w:val="VoetnoottekstChar"/>
    <w:uiPriority w:val="59"/>
    <w:semiHidden/>
    <w:unhideWhenUsed/>
    <w:rsid w:val="0061587E"/>
    <w:pPr>
      <w:spacing w:line="240" w:lineRule="auto"/>
    </w:pPr>
    <w:rPr>
      <w:sz w:val="15"/>
    </w:rPr>
  </w:style>
  <w:style w:type="character" w:customStyle="1" w:styleId="VoetnoottekstChar">
    <w:name w:val="Voetnoottekst Char"/>
    <w:basedOn w:val="Standaardalinea-lettertype"/>
    <w:link w:val="Voetnoottekst"/>
    <w:uiPriority w:val="59"/>
    <w:semiHidden/>
    <w:rsid w:val="0061587E"/>
    <w:rPr>
      <w:rFonts w:ascii="Merriweather" w:hAnsi="Merriweather"/>
      <w:kern w:val="0"/>
      <w:sz w:val="15"/>
      <w:szCs w:val="20"/>
      <w:lang w:val="en-US"/>
      <w14:ligatures w14:val="none"/>
    </w:rPr>
  </w:style>
  <w:style w:type="table" w:styleId="Webtabel1">
    <w:name w:val="Table Web 1"/>
    <w:basedOn w:val="Standaardtabel"/>
    <w:uiPriority w:val="59"/>
    <w:semiHidden/>
    <w:unhideWhenUsed/>
    <w:rsid w:val="0061587E"/>
    <w:pPr>
      <w:spacing w:after="0" w:line="252" w:lineRule="auto"/>
    </w:pPr>
    <w:rPr>
      <w:kern w:val="0"/>
      <w:sz w:val="20"/>
      <w:szCs w:val="20"/>
      <w:lang w:val="en-US"/>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61587E"/>
    <w:pPr>
      <w:spacing w:after="0" w:line="252" w:lineRule="auto"/>
    </w:pPr>
    <w:rPr>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61587E"/>
    <w:pPr>
      <w:spacing w:after="0" w:line="252" w:lineRule="auto"/>
    </w:pPr>
    <w:rPr>
      <w:kern w:val="0"/>
      <w:sz w:val="20"/>
      <w:szCs w:val="20"/>
      <w:lang w:val="en-US"/>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61587E"/>
    <w:rPr>
      <w:b/>
      <w:bCs/>
    </w:rPr>
  </w:style>
  <w:style w:type="paragraph" w:styleId="Revisie">
    <w:name w:val="Revision"/>
    <w:hidden/>
    <w:uiPriority w:val="99"/>
    <w:semiHidden/>
    <w:rsid w:val="002B5C8B"/>
    <w:pPr>
      <w:spacing w:after="0" w:line="240" w:lineRule="auto"/>
    </w:pPr>
    <w:rPr>
      <w:rFonts w:ascii="Merriweather" w:hAnsi="Merriweather"/>
      <w:kern w:val="0"/>
      <w:sz w:val="17"/>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van Doorne">
  <a:themeElements>
    <a:clrScheme name="van Doorne">
      <a:dk1>
        <a:sysClr val="windowText" lastClr="000000"/>
      </a:dk1>
      <a:lt1>
        <a:sysClr val="window" lastClr="FFFFFF"/>
      </a:lt1>
      <a:dk2>
        <a:srgbClr val="0C251B"/>
      </a:dk2>
      <a:lt2>
        <a:srgbClr val="F7F7EE"/>
      </a:lt2>
      <a:accent1>
        <a:srgbClr val="0C251B"/>
      </a:accent1>
      <a:accent2>
        <a:srgbClr val="004028"/>
      </a:accent2>
      <a:accent3>
        <a:srgbClr val="F7F7EE"/>
      </a:accent3>
      <a:accent4>
        <a:srgbClr val="F3EAE1"/>
      </a:accent4>
      <a:accent5>
        <a:srgbClr val="FC5200"/>
      </a:accent5>
      <a:accent6>
        <a:srgbClr val="FFFFFF"/>
      </a:accent6>
      <a:hlink>
        <a:srgbClr val="0C251B"/>
      </a:hlink>
      <a:folHlink>
        <a:srgbClr val="0C251B"/>
      </a:folHlink>
    </a:clrScheme>
    <a:fontScheme name="van Doorne">
      <a:majorFont>
        <a:latin typeface="Merriweather"/>
        <a:ea typeface=""/>
        <a:cs typeface=""/>
      </a:majorFont>
      <a:minorFont>
        <a:latin typeface="Merriweather"/>
        <a:ea typeface=""/>
        <a:cs typeface=""/>
      </a:minorFont>
    </a:fontScheme>
    <a:fmtScheme name="van Doorn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4C3CA6-8AA1-4F1B-B226-A49A36B3077C}">
  <we:reference id="6cec9104-4737-421b-a03d-239e5c3d9697" version="1.0.3.0" store="EXCatalog" storeType="EXCatalog"/>
  <we:alternateReferences>
    <we:reference id="WA200007740" version="1.0.3.0" store="nl-NL"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9</Pages>
  <Words>2952</Words>
  <Characters>15292</Characters>
  <Application>Microsoft Office Word</Application>
  <DocSecurity>4</DocSecurity>
  <Lines>312</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Van Doorne N.V.</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Achterberg, Laura</dc:creator>
  <cp:keywords/>
  <dc:description/>
  <cp:lastModifiedBy>Van Doorne N.V.</cp:lastModifiedBy>
  <cp:revision>2</cp:revision>
  <dcterms:created xsi:type="dcterms:W3CDTF">2026-08-25T14:29:00Z</dcterms:created>
  <dcterms:modified xsi:type="dcterms:W3CDTF">2026-08-25T14:29:00Z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ies>
</file>